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12A4C" w14:textId="77777777" w:rsidR="006F4CFC" w:rsidRDefault="006F4CFC" w:rsidP="006A0FB0">
      <w:pPr>
        <w:jc w:val="center"/>
        <w:rPr>
          <w:rFonts w:ascii="Book Antiqua" w:hAnsi="Book Antiqua"/>
          <w:sz w:val="24"/>
        </w:rPr>
      </w:pPr>
    </w:p>
    <w:p w14:paraId="208EAD0A" w14:textId="77777777" w:rsidR="00935C63" w:rsidRPr="000B6DE9" w:rsidRDefault="00935C63" w:rsidP="00935C63">
      <w:pPr>
        <w:jc w:val="center"/>
        <w:rPr>
          <w:bCs/>
          <w:smallCaps/>
          <w:sz w:val="24"/>
          <w:szCs w:val="24"/>
        </w:rPr>
      </w:pPr>
      <w:r w:rsidRPr="000B6DE9">
        <w:rPr>
          <w:smallCaps/>
          <w:sz w:val="24"/>
          <w:szCs w:val="24"/>
        </w:rPr>
        <w:t>Town of Farmington</w:t>
      </w:r>
    </w:p>
    <w:p w14:paraId="1C911F84" w14:textId="77777777" w:rsidR="00935C63" w:rsidRPr="000B6DE9" w:rsidRDefault="00935C63" w:rsidP="00935C63">
      <w:pPr>
        <w:jc w:val="center"/>
        <w:rPr>
          <w:bCs/>
          <w:smallCaps/>
          <w:sz w:val="24"/>
          <w:szCs w:val="24"/>
        </w:rPr>
      </w:pPr>
      <w:r w:rsidRPr="000B6DE9">
        <w:rPr>
          <w:smallCaps/>
          <w:sz w:val="24"/>
          <w:szCs w:val="24"/>
        </w:rPr>
        <w:t>Zoning Board of Appeals</w:t>
      </w:r>
    </w:p>
    <w:p w14:paraId="0672DE5A" w14:textId="77777777" w:rsidR="00935C63" w:rsidRPr="000B6DE9" w:rsidRDefault="00935C63" w:rsidP="00935C63">
      <w:pPr>
        <w:jc w:val="center"/>
        <w:rPr>
          <w:bCs/>
          <w:smallCaps/>
          <w:sz w:val="24"/>
          <w:szCs w:val="24"/>
        </w:rPr>
      </w:pPr>
      <w:r w:rsidRPr="000B6DE9">
        <w:rPr>
          <w:smallCaps/>
          <w:sz w:val="24"/>
          <w:szCs w:val="24"/>
        </w:rPr>
        <w:t>Area Variance Findings and Decision</w:t>
      </w:r>
    </w:p>
    <w:p w14:paraId="7FC8DC89" w14:textId="77777777" w:rsidR="00935C63" w:rsidRPr="000B6DE9" w:rsidRDefault="00935C63" w:rsidP="00935C63">
      <w:pPr>
        <w:jc w:val="center"/>
        <w:rPr>
          <w:b/>
          <w:bCs/>
          <w:sz w:val="24"/>
          <w:szCs w:val="28"/>
        </w:rPr>
      </w:pPr>
    </w:p>
    <w:p w14:paraId="57C17CAA" w14:textId="72C5F9FD" w:rsidR="00935C63" w:rsidRPr="000B6DE9" w:rsidRDefault="00935C63" w:rsidP="00935C63">
      <w:pPr>
        <w:rPr>
          <w:b/>
          <w:bCs/>
          <w:sz w:val="24"/>
        </w:rPr>
      </w:pPr>
      <w:r w:rsidRPr="00566F7E">
        <w:rPr>
          <w:b/>
          <w:bCs/>
          <w:smallCaps/>
          <w:sz w:val="24"/>
        </w:rPr>
        <w:t>Applicant:</w:t>
      </w:r>
      <w:r w:rsidRPr="000B6DE9">
        <w:rPr>
          <w:sz w:val="24"/>
        </w:rPr>
        <w:tab/>
      </w:r>
      <w:r w:rsidR="00CD2CDD">
        <w:rPr>
          <w:sz w:val="24"/>
        </w:rPr>
        <w:t>Timothy</w:t>
      </w:r>
      <w:r w:rsidR="00590E36">
        <w:rPr>
          <w:sz w:val="24"/>
        </w:rPr>
        <w:t xml:space="preserve"> Lawless</w:t>
      </w:r>
      <w:r>
        <w:rPr>
          <w:sz w:val="24"/>
        </w:rPr>
        <w:tab/>
      </w:r>
      <w:r w:rsidR="00590E36">
        <w:rPr>
          <w:sz w:val="24"/>
        </w:rPr>
        <w:tab/>
      </w:r>
      <w:r w:rsidRPr="00566F7E">
        <w:rPr>
          <w:b/>
          <w:bCs/>
          <w:sz w:val="24"/>
        </w:rPr>
        <w:t>File: ZB #2025-070</w:t>
      </w:r>
      <w:r w:rsidR="00605D30" w:rsidRPr="00566F7E">
        <w:rPr>
          <w:b/>
          <w:bCs/>
          <w:sz w:val="24"/>
        </w:rPr>
        <w:t>5</w:t>
      </w:r>
    </w:p>
    <w:p w14:paraId="34D85A34" w14:textId="4C8029E5" w:rsidR="00935C63" w:rsidRPr="000B6DE9" w:rsidRDefault="00DF3E7C" w:rsidP="00DF3E7C">
      <w:pPr>
        <w:pStyle w:val="Heading1"/>
        <w:ind w:left="720" w:firstLine="720"/>
        <w:rPr>
          <w:sz w:val="24"/>
        </w:rPr>
      </w:pPr>
      <w:r w:rsidRPr="00590E36">
        <w:rPr>
          <w:b w:val="0"/>
          <w:bCs/>
          <w:sz w:val="24"/>
        </w:rPr>
        <w:t>T&amp;</w:t>
      </w:r>
      <w:r w:rsidR="00590E36" w:rsidRPr="00590E36">
        <w:rPr>
          <w:b w:val="0"/>
          <w:bCs/>
          <w:sz w:val="24"/>
        </w:rPr>
        <w:t>M Properties of WNY</w:t>
      </w:r>
      <w:r w:rsidR="00935C63">
        <w:rPr>
          <w:sz w:val="24"/>
        </w:rPr>
        <w:t xml:space="preserve">    </w:t>
      </w:r>
      <w:r w:rsidR="00590E36">
        <w:rPr>
          <w:sz w:val="24"/>
        </w:rPr>
        <w:tab/>
      </w:r>
      <w:r w:rsidR="00843F66">
        <w:rPr>
          <w:b w:val="0"/>
          <w:bCs/>
          <w:sz w:val="24"/>
        </w:rPr>
        <w:t>Zoning District: GI &amp; MTOD</w:t>
      </w:r>
      <w:r w:rsidR="00935C63">
        <w:rPr>
          <w:sz w:val="24"/>
        </w:rPr>
        <w:t xml:space="preserve"> </w:t>
      </w:r>
    </w:p>
    <w:p w14:paraId="6B094B90" w14:textId="3F308D0D" w:rsidR="00935C63" w:rsidRPr="00BE0238" w:rsidRDefault="00843F66" w:rsidP="00935C63">
      <w:pPr>
        <w:ind w:left="720" w:firstLine="720"/>
        <w:rPr>
          <w:b/>
          <w:bCs/>
          <w:sz w:val="24"/>
          <w:szCs w:val="24"/>
        </w:rPr>
      </w:pPr>
      <w:r>
        <w:rPr>
          <w:sz w:val="24"/>
        </w:rPr>
        <w:t>1 Capron Street,</w:t>
      </w:r>
      <w:r w:rsidR="0048051C">
        <w:rPr>
          <w:sz w:val="24"/>
        </w:rPr>
        <w:t xml:space="preserve"> Unit 3C</w:t>
      </w:r>
      <w:r w:rsidR="00935C63" w:rsidRPr="000B6DE9">
        <w:rPr>
          <w:sz w:val="24"/>
        </w:rPr>
        <w:tab/>
        <w:t xml:space="preserve">Published Legal Notice on: </w:t>
      </w:r>
      <w:r w:rsidR="00935C63">
        <w:rPr>
          <w:sz w:val="24"/>
        </w:rPr>
        <w:t>August 19, 2025</w:t>
      </w:r>
    </w:p>
    <w:p w14:paraId="5EA4C8E0" w14:textId="23039040" w:rsidR="00935C63" w:rsidRPr="000B6DE9" w:rsidRDefault="0048051C" w:rsidP="00935C63">
      <w:pPr>
        <w:ind w:left="720" w:firstLine="720"/>
        <w:rPr>
          <w:b/>
          <w:bCs/>
          <w:sz w:val="24"/>
        </w:rPr>
      </w:pPr>
      <w:r>
        <w:rPr>
          <w:sz w:val="24"/>
          <w:szCs w:val="24"/>
        </w:rPr>
        <w:t>Rochester, NY 14607</w:t>
      </w:r>
      <w:r w:rsidR="00935C63">
        <w:rPr>
          <w:sz w:val="24"/>
          <w:szCs w:val="24"/>
        </w:rPr>
        <w:tab/>
      </w:r>
      <w:r w:rsidR="00935C63">
        <w:rPr>
          <w:sz w:val="24"/>
          <w:szCs w:val="24"/>
        </w:rPr>
        <w:tab/>
      </w:r>
      <w:r w:rsidR="00935C63" w:rsidRPr="000B6DE9">
        <w:rPr>
          <w:sz w:val="24"/>
        </w:rPr>
        <w:t xml:space="preserve">County Planning Action on: </w:t>
      </w:r>
      <w:r w:rsidR="00FD577F">
        <w:rPr>
          <w:sz w:val="24"/>
        </w:rPr>
        <w:t>August 13, 2025</w:t>
      </w:r>
      <w:r w:rsidR="00935C63">
        <w:rPr>
          <w:sz w:val="24"/>
        </w:rPr>
        <w:t xml:space="preserve"> </w:t>
      </w:r>
    </w:p>
    <w:p w14:paraId="72BB1310" w14:textId="2FFEC5D9" w:rsidR="00935C63" w:rsidRPr="000B6DE9" w:rsidRDefault="00935C63" w:rsidP="00935C63">
      <w:pPr>
        <w:tabs>
          <w:tab w:val="left" w:pos="3600"/>
        </w:tabs>
        <w:rPr>
          <w:b/>
          <w:bCs/>
          <w:sz w:val="24"/>
        </w:rPr>
      </w:pPr>
      <w:r w:rsidRPr="000B6DE9">
        <w:rPr>
          <w:sz w:val="24"/>
        </w:rPr>
        <w:tab/>
      </w:r>
      <w:r w:rsidRPr="000B6DE9">
        <w:rPr>
          <w:sz w:val="24"/>
        </w:rPr>
        <w:tab/>
        <w:t xml:space="preserve">County Referral #: </w:t>
      </w:r>
      <w:r w:rsidR="00AA79D8">
        <w:rPr>
          <w:sz w:val="24"/>
        </w:rPr>
        <w:t>129-2025</w:t>
      </w:r>
      <w:r w:rsidR="001A3614">
        <w:rPr>
          <w:sz w:val="24"/>
        </w:rPr>
        <w:t xml:space="preserve"> (Class 1)</w:t>
      </w:r>
    </w:p>
    <w:p w14:paraId="0DD736EA" w14:textId="77777777" w:rsidR="00935C63" w:rsidRPr="00710989" w:rsidRDefault="00935C63" w:rsidP="00935C63">
      <w:pPr>
        <w:tabs>
          <w:tab w:val="left" w:pos="3600"/>
        </w:tabs>
        <w:rPr>
          <w:bCs/>
          <w:sz w:val="24"/>
        </w:rPr>
      </w:pPr>
      <w:r w:rsidRPr="000B6DE9">
        <w:rPr>
          <w:sz w:val="24"/>
        </w:rPr>
        <w:tab/>
      </w:r>
      <w:r w:rsidRPr="000B6DE9">
        <w:rPr>
          <w:sz w:val="24"/>
        </w:rPr>
        <w:tab/>
        <w:t>Public Hearing held on:</w:t>
      </w:r>
      <w:r>
        <w:rPr>
          <w:sz w:val="24"/>
        </w:rPr>
        <w:t xml:space="preserve"> August 25, 2025</w:t>
      </w:r>
    </w:p>
    <w:p w14:paraId="14626A47" w14:textId="77777777" w:rsidR="00935C63" w:rsidRPr="000B6DE9" w:rsidRDefault="00935C63" w:rsidP="00935C63">
      <w:pPr>
        <w:rPr>
          <w:b/>
          <w:bCs/>
          <w:sz w:val="24"/>
        </w:rPr>
      </w:pPr>
    </w:p>
    <w:p w14:paraId="1E93F345" w14:textId="3FA65E69" w:rsidR="00935C63" w:rsidRDefault="00935C63" w:rsidP="00935C63">
      <w:pPr>
        <w:jc w:val="both"/>
        <w:rPr>
          <w:b/>
          <w:bCs/>
          <w:sz w:val="24"/>
        </w:rPr>
      </w:pPr>
      <w:r w:rsidRPr="000844ED">
        <w:rPr>
          <w:b/>
          <w:bCs/>
          <w:sz w:val="24"/>
        </w:rPr>
        <w:t>Property Location:</w:t>
      </w:r>
      <w:r>
        <w:rPr>
          <w:sz w:val="24"/>
        </w:rPr>
        <w:t xml:space="preserve"> </w:t>
      </w:r>
      <w:r w:rsidR="00515176">
        <w:rPr>
          <w:sz w:val="24"/>
        </w:rPr>
        <w:t>Loomis Park</w:t>
      </w:r>
      <w:r w:rsidR="007E57EE">
        <w:rPr>
          <w:sz w:val="24"/>
        </w:rPr>
        <w:t>, LLC, Loomis Road/Jetman Drive</w:t>
      </w:r>
      <w:r>
        <w:rPr>
          <w:sz w:val="24"/>
        </w:rPr>
        <w:t>1796 Opal Drive, Farmington, NY</w:t>
      </w:r>
      <w:r w:rsidR="000912DC">
        <w:rPr>
          <w:sz w:val="24"/>
        </w:rPr>
        <w:tab/>
      </w:r>
      <w:r w:rsidR="000912DC">
        <w:rPr>
          <w:sz w:val="24"/>
        </w:rPr>
        <w:tab/>
        <w:t xml:space="preserve">       </w:t>
      </w:r>
      <w:r>
        <w:rPr>
          <w:sz w:val="24"/>
        </w:rPr>
        <w:t>14425</w:t>
      </w:r>
    </w:p>
    <w:p w14:paraId="2CE870DD" w14:textId="77777777" w:rsidR="00935C63" w:rsidRDefault="00935C63" w:rsidP="00935C63">
      <w:pPr>
        <w:jc w:val="both"/>
        <w:rPr>
          <w:b/>
          <w:bCs/>
          <w:sz w:val="24"/>
        </w:rPr>
      </w:pPr>
    </w:p>
    <w:p w14:paraId="6C3E9D1B" w14:textId="5AB2DA9F" w:rsidR="00935C63" w:rsidRPr="007623A8" w:rsidRDefault="00935C63" w:rsidP="00935C63">
      <w:pPr>
        <w:jc w:val="both"/>
        <w:rPr>
          <w:b/>
          <w:bCs/>
          <w:sz w:val="24"/>
        </w:rPr>
      </w:pPr>
      <w:r w:rsidRPr="000844ED">
        <w:rPr>
          <w:b/>
          <w:bCs/>
          <w:sz w:val="24"/>
        </w:rPr>
        <w:t>Property Owner:</w:t>
      </w:r>
      <w:r>
        <w:rPr>
          <w:sz w:val="24"/>
        </w:rPr>
        <w:t xml:space="preserve">  </w:t>
      </w:r>
      <w:r w:rsidR="008D3097">
        <w:rPr>
          <w:sz w:val="24"/>
        </w:rPr>
        <w:t xml:space="preserve">Loomis Park, LLC, 1 Capron Street, Unit 3C, Rochester, NY </w:t>
      </w:r>
      <w:r w:rsidR="00642061">
        <w:rPr>
          <w:sz w:val="24"/>
        </w:rPr>
        <w:t>14067.</w:t>
      </w:r>
    </w:p>
    <w:p w14:paraId="391E184F" w14:textId="77777777" w:rsidR="00935C63" w:rsidRPr="000B6DE9" w:rsidRDefault="00935C63" w:rsidP="00935C63">
      <w:pPr>
        <w:rPr>
          <w:b/>
          <w:bCs/>
          <w:sz w:val="24"/>
        </w:rPr>
      </w:pPr>
      <w:r w:rsidRPr="000B6DE9">
        <w:rPr>
          <w:sz w:val="24"/>
        </w:rPr>
        <w:tab/>
      </w:r>
    </w:p>
    <w:p w14:paraId="52976025" w14:textId="77777777" w:rsidR="00935C63" w:rsidRPr="000B6DE9" w:rsidRDefault="00935C63" w:rsidP="00935C63">
      <w:pPr>
        <w:rPr>
          <w:b/>
          <w:bCs/>
          <w:sz w:val="24"/>
        </w:rPr>
      </w:pPr>
      <w:r w:rsidRPr="000844ED">
        <w:rPr>
          <w:b/>
          <w:bCs/>
          <w:sz w:val="24"/>
        </w:rPr>
        <w:t>Applicable Section of Town Code:</w:t>
      </w:r>
      <w:r w:rsidRPr="000B6DE9">
        <w:rPr>
          <w:sz w:val="24"/>
        </w:rPr>
        <w:t xml:space="preserve"> </w:t>
      </w:r>
      <w:r w:rsidRPr="00272630">
        <w:rPr>
          <w:sz w:val="24"/>
        </w:rPr>
        <w:t>Chapter 165</w:t>
      </w:r>
      <w:r>
        <w:rPr>
          <w:sz w:val="24"/>
        </w:rPr>
        <w:t>, Article IV, Section 34 J. (3) (g) [6].</w:t>
      </w:r>
      <w:r w:rsidRPr="00272630">
        <w:rPr>
          <w:sz w:val="24"/>
        </w:rPr>
        <w:t xml:space="preserve"> </w:t>
      </w:r>
    </w:p>
    <w:p w14:paraId="1450564B" w14:textId="77777777" w:rsidR="00935C63" w:rsidRPr="000B6DE9" w:rsidRDefault="00935C63" w:rsidP="00935C63">
      <w:pPr>
        <w:rPr>
          <w:b/>
          <w:bCs/>
          <w:sz w:val="24"/>
        </w:rPr>
      </w:pPr>
    </w:p>
    <w:p w14:paraId="690B2F78" w14:textId="54FE4FED" w:rsidR="00935C63" w:rsidRDefault="00935C63" w:rsidP="00935C63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r w:rsidRPr="000B6DE9">
        <w:rPr>
          <w:rFonts w:ascii="Times New Roman" w:hAnsi="Times New Roman"/>
          <w:b/>
          <w:bCs/>
          <w:sz w:val="24"/>
          <w:szCs w:val="24"/>
        </w:rPr>
        <w:t xml:space="preserve">Requirement for Which Variance </w:t>
      </w:r>
      <w:r>
        <w:rPr>
          <w:rFonts w:ascii="Times New Roman" w:hAnsi="Times New Roman"/>
          <w:b/>
          <w:bCs/>
          <w:sz w:val="24"/>
          <w:szCs w:val="24"/>
        </w:rPr>
        <w:t>is</w:t>
      </w:r>
      <w:r w:rsidRPr="000B6DE9">
        <w:rPr>
          <w:rFonts w:ascii="Times New Roman" w:hAnsi="Times New Roman"/>
          <w:b/>
          <w:bCs/>
          <w:sz w:val="24"/>
          <w:szCs w:val="24"/>
        </w:rPr>
        <w:t xml:space="preserve"> Requested</w:t>
      </w:r>
      <w:r>
        <w:rPr>
          <w:rFonts w:ascii="Times New Roman" w:hAnsi="Times New Roman"/>
          <w:b/>
          <w:bCs/>
          <w:sz w:val="24"/>
          <w:szCs w:val="24"/>
        </w:rPr>
        <w:t>:</w:t>
      </w:r>
      <w:r w:rsidRPr="00FA3107">
        <w:t xml:space="preserve"> </w:t>
      </w:r>
      <w:r w:rsidRPr="00FA3107">
        <w:rPr>
          <w:rFonts w:ascii="Times New Roman" w:hAnsi="Times New Roman"/>
          <w:sz w:val="24"/>
          <w:szCs w:val="24"/>
        </w:rPr>
        <w:t>The applicant</w:t>
      </w:r>
      <w:r>
        <w:rPr>
          <w:rFonts w:ascii="Times New Roman" w:hAnsi="Times New Roman"/>
          <w:sz w:val="24"/>
          <w:szCs w:val="24"/>
        </w:rPr>
        <w:t xml:space="preserve"> is requesting an area variance to </w:t>
      </w:r>
      <w:r w:rsidR="006234F2">
        <w:rPr>
          <w:rFonts w:ascii="Times New Roman" w:hAnsi="Times New Roman"/>
          <w:sz w:val="24"/>
          <w:szCs w:val="24"/>
        </w:rPr>
        <w:t xml:space="preserve">not construct </w:t>
      </w:r>
      <w:r w:rsidR="002261AE">
        <w:rPr>
          <w:rFonts w:ascii="Times New Roman" w:hAnsi="Times New Roman"/>
          <w:sz w:val="24"/>
          <w:szCs w:val="24"/>
        </w:rPr>
        <w:t xml:space="preserve">a public </w:t>
      </w:r>
      <w:r w:rsidR="003C3DD2">
        <w:rPr>
          <w:rFonts w:ascii="Times New Roman" w:hAnsi="Times New Roman"/>
          <w:sz w:val="24"/>
          <w:szCs w:val="24"/>
        </w:rPr>
        <w:t>sidewalk across the frontages of their propert</w:t>
      </w:r>
      <w:r w:rsidR="00666029">
        <w:rPr>
          <w:rFonts w:ascii="Times New Roman" w:hAnsi="Times New Roman"/>
          <w:sz w:val="24"/>
          <w:szCs w:val="24"/>
        </w:rPr>
        <w:t>ies</w:t>
      </w:r>
      <w:r w:rsidR="000A48AD">
        <w:rPr>
          <w:rFonts w:ascii="Times New Roman" w:hAnsi="Times New Roman"/>
          <w:sz w:val="24"/>
          <w:szCs w:val="24"/>
        </w:rPr>
        <w:t xml:space="preserve"> located</w:t>
      </w:r>
      <w:r w:rsidR="00C07E16">
        <w:rPr>
          <w:rFonts w:ascii="Times New Roman" w:hAnsi="Times New Roman"/>
          <w:sz w:val="24"/>
          <w:szCs w:val="24"/>
        </w:rPr>
        <w:t xml:space="preserve"> along the north side of Loomis Road [currently Tax Map Account</w:t>
      </w:r>
      <w:r w:rsidR="00A655BF">
        <w:rPr>
          <w:rFonts w:ascii="Times New Roman" w:hAnsi="Times New Roman"/>
          <w:sz w:val="24"/>
          <w:szCs w:val="24"/>
        </w:rPr>
        <w:t xml:space="preserve"> Numbers 17.00-1-67.01</w:t>
      </w:r>
      <w:r w:rsidR="00306DC5">
        <w:rPr>
          <w:rFonts w:ascii="Times New Roman" w:hAnsi="Times New Roman"/>
          <w:sz w:val="24"/>
          <w:szCs w:val="24"/>
        </w:rPr>
        <w:t xml:space="preserve"> through -67.011</w:t>
      </w:r>
      <w:r w:rsidR="002261AE">
        <w:rPr>
          <w:rFonts w:ascii="Times New Roman" w:hAnsi="Times New Roman"/>
          <w:sz w:val="24"/>
          <w:szCs w:val="24"/>
        </w:rPr>
        <w:t xml:space="preserve">].  </w:t>
      </w:r>
      <w:r>
        <w:rPr>
          <w:rFonts w:ascii="Times New Roman" w:hAnsi="Times New Roman"/>
          <w:sz w:val="24"/>
          <w:szCs w:val="24"/>
        </w:rPr>
        <w:t xml:space="preserve">The </w:t>
      </w:r>
      <w:r w:rsidRPr="00EA1857">
        <w:rPr>
          <w:rFonts w:ascii="Times New Roman" w:hAnsi="Times New Roman"/>
          <w:sz w:val="24"/>
          <w:szCs w:val="24"/>
        </w:rPr>
        <w:t>Town Code</w:t>
      </w:r>
      <w:r>
        <w:rPr>
          <w:rFonts w:ascii="Times New Roman" w:hAnsi="Times New Roman"/>
          <w:sz w:val="24"/>
          <w:szCs w:val="24"/>
        </w:rPr>
        <w:t>, Chapter 165,</w:t>
      </w:r>
      <w:r w:rsidRPr="00EA18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Article </w:t>
      </w:r>
      <w:r w:rsidR="00052007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V, Section </w:t>
      </w:r>
      <w:r w:rsidR="00052007">
        <w:rPr>
          <w:rFonts w:ascii="Times New Roman" w:hAnsi="Times New Roman"/>
          <w:sz w:val="24"/>
          <w:szCs w:val="24"/>
        </w:rPr>
        <w:t>34 J. (3) (g) (6)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1857">
        <w:rPr>
          <w:rFonts w:ascii="Times New Roman" w:hAnsi="Times New Roman"/>
          <w:sz w:val="24"/>
          <w:szCs w:val="24"/>
        </w:rPr>
        <w:t>requires</w:t>
      </w:r>
      <w:r w:rsidR="002465BC">
        <w:rPr>
          <w:rFonts w:ascii="Times New Roman" w:hAnsi="Times New Roman"/>
          <w:sz w:val="24"/>
          <w:szCs w:val="24"/>
        </w:rPr>
        <w:t xml:space="preserve"> sidewalks are to be provided along all sites fronting along state and county and other Town highways</w:t>
      </w:r>
      <w:r w:rsidR="0079667E">
        <w:rPr>
          <w:rFonts w:ascii="Times New Roman" w:hAnsi="Times New Roman"/>
          <w:sz w:val="24"/>
          <w:szCs w:val="24"/>
        </w:rPr>
        <w:t xml:space="preserve"> within the mapped MTOD Major Thoroughfare Overlay District that connect to, or contribute to, the completion of a pedestrian network in the area</w:t>
      </w:r>
      <w:r w:rsidR="00975ECB">
        <w:rPr>
          <w:rFonts w:ascii="Times New Roman" w:hAnsi="Times New Roman"/>
          <w:sz w:val="24"/>
          <w:szCs w:val="24"/>
        </w:rPr>
        <w:t xml:space="preserve">. </w:t>
      </w:r>
    </w:p>
    <w:p w14:paraId="6D28FF95" w14:textId="77777777" w:rsidR="00935C63" w:rsidRPr="000B6DE9" w:rsidRDefault="00935C63" w:rsidP="00935C63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</w:p>
    <w:p w14:paraId="58E1F408" w14:textId="3B4D138F" w:rsidR="00935C63" w:rsidRPr="000B6DE9" w:rsidRDefault="00935C63" w:rsidP="00935C63">
      <w:pPr>
        <w:jc w:val="both"/>
        <w:rPr>
          <w:b/>
          <w:sz w:val="24"/>
        </w:rPr>
      </w:pPr>
      <w:r w:rsidRPr="00975ECB">
        <w:rPr>
          <w:b/>
          <w:bCs/>
          <w:sz w:val="24"/>
        </w:rPr>
        <w:t>State Environmental Quality Review Determination:</w:t>
      </w:r>
      <w:r w:rsidRPr="000B6DE9">
        <w:rPr>
          <w:sz w:val="24"/>
        </w:rPr>
        <w:t xml:space="preserve"> </w:t>
      </w:r>
      <w:r w:rsidRPr="00CC790E">
        <w:rPr>
          <w:sz w:val="24"/>
        </w:rPr>
        <w:t>The granting of a</w:t>
      </w:r>
      <w:r>
        <w:rPr>
          <w:sz w:val="24"/>
        </w:rPr>
        <w:t xml:space="preserve"> single</w:t>
      </w:r>
      <w:r w:rsidRPr="00CC790E">
        <w:rPr>
          <w:sz w:val="24"/>
        </w:rPr>
        <w:t xml:space="preserve"> Area Variance for an</w:t>
      </w:r>
      <w:r>
        <w:rPr>
          <w:sz w:val="24"/>
        </w:rPr>
        <w:t xml:space="preserve"> </w:t>
      </w:r>
      <w:r w:rsidRPr="00CC790E">
        <w:rPr>
          <w:sz w:val="24"/>
        </w:rPr>
        <w:t>is classified as a Type II Action under</w:t>
      </w:r>
      <w:r>
        <w:rPr>
          <w:sz w:val="24"/>
        </w:rPr>
        <w:t xml:space="preserve"> </w:t>
      </w:r>
      <w:r w:rsidRPr="00CC790E">
        <w:rPr>
          <w:sz w:val="24"/>
        </w:rPr>
        <w:t>Part 617.5</w:t>
      </w:r>
      <w:r>
        <w:rPr>
          <w:sz w:val="24"/>
        </w:rPr>
        <w:t xml:space="preserve"> (c)</w:t>
      </w:r>
      <w:r w:rsidRPr="00CC790E">
        <w:rPr>
          <w:sz w:val="24"/>
        </w:rPr>
        <w:t xml:space="preserve"> (</w:t>
      </w:r>
      <w:r>
        <w:rPr>
          <w:sz w:val="24"/>
        </w:rPr>
        <w:t>9</w:t>
      </w:r>
      <w:r w:rsidRPr="00CC790E">
        <w:rPr>
          <w:sz w:val="24"/>
        </w:rPr>
        <w:t>)</w:t>
      </w:r>
      <w:r>
        <w:rPr>
          <w:sz w:val="24"/>
        </w:rPr>
        <w:t xml:space="preserve"> </w:t>
      </w:r>
      <w:r w:rsidRPr="00CC790E">
        <w:rPr>
          <w:sz w:val="24"/>
        </w:rPr>
        <w:t>of the State Environmental Quality Review (SEQR) Regulations. Type II</w:t>
      </w:r>
      <w:r>
        <w:rPr>
          <w:sz w:val="24"/>
        </w:rPr>
        <w:t xml:space="preserve"> </w:t>
      </w:r>
      <w:r w:rsidRPr="00CC790E">
        <w:rPr>
          <w:sz w:val="24"/>
        </w:rPr>
        <w:t>Actions have been determined, under the SEQR Regulations, not to have a substantial</w:t>
      </w:r>
      <w:r>
        <w:rPr>
          <w:sz w:val="24"/>
        </w:rPr>
        <w:t xml:space="preserve"> </w:t>
      </w:r>
      <w:r w:rsidRPr="00CC790E">
        <w:rPr>
          <w:sz w:val="24"/>
        </w:rPr>
        <w:t>adverse impact upon the environment or are otherwise precluded from further environmental review under</w:t>
      </w:r>
      <w:r>
        <w:rPr>
          <w:sz w:val="24"/>
        </w:rPr>
        <w:t xml:space="preserve"> article 8 of the State</w:t>
      </w:r>
      <w:r w:rsidRPr="00CC790E">
        <w:rPr>
          <w:sz w:val="24"/>
        </w:rPr>
        <w:t xml:space="preserve"> Environmental Conservation Law</w:t>
      </w:r>
      <w:r>
        <w:rPr>
          <w:sz w:val="24"/>
        </w:rPr>
        <w:t xml:space="preserve"> (ECL).</w:t>
      </w:r>
    </w:p>
    <w:p w14:paraId="6F5BCF50" w14:textId="77777777" w:rsidR="00935C63" w:rsidRPr="000B6DE9" w:rsidRDefault="00935C63" w:rsidP="00935C63">
      <w:pPr>
        <w:jc w:val="both"/>
        <w:rPr>
          <w:b/>
          <w:bCs/>
          <w:sz w:val="24"/>
        </w:rPr>
      </w:pPr>
    </w:p>
    <w:p w14:paraId="302D2C4B" w14:textId="75D727C3" w:rsidR="00935C63" w:rsidRPr="00B42818" w:rsidRDefault="00935C63" w:rsidP="00935C63">
      <w:pPr>
        <w:jc w:val="both"/>
        <w:rPr>
          <w:b/>
          <w:sz w:val="24"/>
        </w:rPr>
      </w:pPr>
      <w:r w:rsidRPr="00201417">
        <w:rPr>
          <w:b/>
          <w:bCs/>
          <w:sz w:val="24"/>
        </w:rPr>
        <w:t>County Planning Referral Recommendation:</w:t>
      </w:r>
      <w:r w:rsidRPr="000B6DE9">
        <w:rPr>
          <w:sz w:val="24"/>
        </w:rPr>
        <w:t xml:space="preserve"> </w:t>
      </w:r>
      <w:r w:rsidR="00201417">
        <w:rPr>
          <w:sz w:val="24"/>
        </w:rPr>
        <w:t>County Planning Referral Number</w:t>
      </w:r>
      <w:r w:rsidR="007C2BED">
        <w:rPr>
          <w:sz w:val="24"/>
        </w:rPr>
        <w:t>, 129-2025, Class 1 Action without further recommendation.</w:t>
      </w:r>
    </w:p>
    <w:p w14:paraId="50091961" w14:textId="77777777" w:rsidR="00935C63" w:rsidRPr="000B6DE9" w:rsidRDefault="00935C63" w:rsidP="00935C63">
      <w:pPr>
        <w:jc w:val="both"/>
        <w:rPr>
          <w:b/>
          <w:bCs/>
          <w:sz w:val="24"/>
        </w:rPr>
      </w:pPr>
    </w:p>
    <w:p w14:paraId="081F79CE" w14:textId="77777777" w:rsidR="00935C63" w:rsidRPr="000B6DE9" w:rsidRDefault="00935C63" w:rsidP="00935C63">
      <w:pPr>
        <w:jc w:val="both"/>
        <w:rPr>
          <w:b/>
          <w:bCs/>
          <w:sz w:val="24"/>
        </w:rPr>
      </w:pPr>
      <w:r w:rsidRPr="000B6DE9">
        <w:rPr>
          <w:sz w:val="24"/>
        </w:rPr>
        <w:t xml:space="preserve">           </w:t>
      </w:r>
    </w:p>
    <w:p w14:paraId="3A9085F7" w14:textId="77777777" w:rsidR="00935C63" w:rsidRPr="007C2BED" w:rsidRDefault="00935C63" w:rsidP="00935C63">
      <w:pPr>
        <w:rPr>
          <w:b/>
          <w:bCs/>
          <w:sz w:val="24"/>
          <w:szCs w:val="28"/>
        </w:rPr>
      </w:pPr>
      <w:r w:rsidRPr="007C2BED">
        <w:rPr>
          <w:b/>
          <w:bCs/>
          <w:sz w:val="24"/>
          <w:szCs w:val="28"/>
        </w:rPr>
        <w:t>FACTORS CONSIDERED AND BOARD FINDINGS</w:t>
      </w:r>
    </w:p>
    <w:p w14:paraId="55701C10" w14:textId="77777777" w:rsidR="00935C63" w:rsidRPr="000B6DE9" w:rsidRDefault="00935C63" w:rsidP="00935C63">
      <w:pPr>
        <w:jc w:val="both"/>
        <w:rPr>
          <w:b/>
          <w:bCs/>
          <w:sz w:val="24"/>
          <w:szCs w:val="28"/>
        </w:rPr>
      </w:pPr>
    </w:p>
    <w:p w14:paraId="48F168A7" w14:textId="7042DAB2" w:rsidR="00935C63" w:rsidRPr="005F6912" w:rsidRDefault="00935C63" w:rsidP="005F6912">
      <w:pPr>
        <w:ind w:left="360" w:hanging="270"/>
        <w:jc w:val="both"/>
        <w:rPr>
          <w:b/>
          <w:bCs/>
          <w:sz w:val="24"/>
        </w:rPr>
      </w:pPr>
      <w:r w:rsidRPr="005F6912">
        <w:rPr>
          <w:b/>
          <w:bCs/>
          <w:sz w:val="24"/>
        </w:rPr>
        <w:t>1. Whether an undesirable change will be produced in the character of the neighborhood or a</w:t>
      </w:r>
      <w:r w:rsidR="005F6912">
        <w:rPr>
          <w:b/>
          <w:bCs/>
          <w:sz w:val="24"/>
        </w:rPr>
        <w:t xml:space="preserve">                                                          </w:t>
      </w:r>
      <w:r w:rsidRPr="005F6912">
        <w:rPr>
          <w:b/>
          <w:bCs/>
          <w:sz w:val="24"/>
        </w:rPr>
        <w:t xml:space="preserve"> detriment to nearby properties will be created by the granting of the Area Variance.</w:t>
      </w:r>
    </w:p>
    <w:p w14:paraId="7048BC83" w14:textId="60BBF98A" w:rsidR="00935C63" w:rsidRPr="005F6912" w:rsidRDefault="00935C63" w:rsidP="005F6912">
      <w:pPr>
        <w:tabs>
          <w:tab w:val="left" w:pos="360"/>
        </w:tabs>
        <w:jc w:val="both"/>
        <w:rPr>
          <w:b/>
          <w:bCs/>
          <w:sz w:val="24"/>
        </w:rPr>
      </w:pPr>
      <w:r w:rsidRPr="005F6912">
        <w:rPr>
          <w:b/>
          <w:bCs/>
          <w:sz w:val="24"/>
        </w:rPr>
        <w:t xml:space="preserve">  </w:t>
      </w:r>
      <w:r w:rsidR="005F6912">
        <w:rPr>
          <w:b/>
          <w:bCs/>
          <w:sz w:val="24"/>
        </w:rPr>
        <w:t xml:space="preserve">   </w:t>
      </w:r>
      <w:r w:rsidRPr="005F6912">
        <w:rPr>
          <w:b/>
          <w:bCs/>
          <w:sz w:val="24"/>
        </w:rPr>
        <w:t xml:space="preserve">  </w:t>
      </w:r>
      <w:r w:rsidRPr="005F6912">
        <w:rPr>
          <w:b/>
          <w:bCs/>
          <w:sz w:val="24"/>
          <w:u w:val="single"/>
        </w:rPr>
        <w:t>_X__</w:t>
      </w:r>
      <w:r w:rsidRPr="005F6912">
        <w:rPr>
          <w:b/>
          <w:bCs/>
          <w:sz w:val="24"/>
        </w:rPr>
        <w:t xml:space="preserve"> Yes        __ No</w:t>
      </w:r>
    </w:p>
    <w:p w14:paraId="3174D25F" w14:textId="77777777" w:rsidR="00935C63" w:rsidRPr="000B6DE9" w:rsidRDefault="00935C63" w:rsidP="00935C63">
      <w:pPr>
        <w:jc w:val="both"/>
        <w:rPr>
          <w:bCs/>
          <w:sz w:val="24"/>
        </w:rPr>
      </w:pPr>
    </w:p>
    <w:p w14:paraId="05EAF8E0" w14:textId="77777777" w:rsidR="00723F8F" w:rsidRDefault="00FD62A0" w:rsidP="00935C63">
      <w:pPr>
        <w:jc w:val="both"/>
        <w:rPr>
          <w:sz w:val="24"/>
        </w:rPr>
      </w:pPr>
      <w:r w:rsidRPr="00FD62A0">
        <w:rPr>
          <w:b/>
          <w:bCs/>
          <w:sz w:val="24"/>
        </w:rPr>
        <w:t>Reasons</w:t>
      </w:r>
      <w:r w:rsidR="00935C63" w:rsidRPr="00FD62A0">
        <w:rPr>
          <w:b/>
          <w:bCs/>
          <w:sz w:val="24"/>
        </w:rPr>
        <w:t>:</w:t>
      </w:r>
      <w:r w:rsidR="00935C63" w:rsidRPr="000B6DE9">
        <w:rPr>
          <w:sz w:val="24"/>
        </w:rPr>
        <w:t xml:space="preserve"> </w:t>
      </w:r>
      <w:r w:rsidR="00935C63" w:rsidRPr="00CC790E">
        <w:rPr>
          <w:sz w:val="24"/>
        </w:rPr>
        <w:t>The Zoning Board of Appeals (hereinafter referred to as the Board) finds that</w:t>
      </w:r>
      <w:r w:rsidR="00935C63">
        <w:rPr>
          <w:sz w:val="24"/>
        </w:rPr>
        <w:t xml:space="preserve"> </w:t>
      </w:r>
      <w:r w:rsidR="00935C63" w:rsidRPr="00272630">
        <w:rPr>
          <w:sz w:val="24"/>
        </w:rPr>
        <w:t xml:space="preserve">the character of this neighborhood is </w:t>
      </w:r>
      <w:r w:rsidR="00935C63">
        <w:rPr>
          <w:sz w:val="24"/>
        </w:rPr>
        <w:t>a</w:t>
      </w:r>
      <w:r w:rsidR="00377260">
        <w:rPr>
          <w:sz w:val="24"/>
        </w:rPr>
        <w:t xml:space="preserve"> mix of single-family</w:t>
      </w:r>
      <w:r w:rsidR="00935C63">
        <w:rPr>
          <w:sz w:val="24"/>
        </w:rPr>
        <w:t xml:space="preserve"> residential </w:t>
      </w:r>
      <w:r w:rsidR="00377260">
        <w:rPr>
          <w:sz w:val="24"/>
        </w:rPr>
        <w:t>lots and</w:t>
      </w:r>
      <w:r w:rsidR="00414CE4">
        <w:rPr>
          <w:sz w:val="24"/>
        </w:rPr>
        <w:t xml:space="preserve"> industrial sites fronting along both sides of Loomis Road. </w:t>
      </w:r>
      <w:r w:rsidR="00340A19">
        <w:rPr>
          <w:sz w:val="24"/>
        </w:rPr>
        <w:t xml:space="preserve"> </w:t>
      </w:r>
      <w:r w:rsidR="00C05900">
        <w:rPr>
          <w:sz w:val="24"/>
        </w:rPr>
        <w:t xml:space="preserve">The Board further finds </w:t>
      </w:r>
      <w:r w:rsidR="00435802">
        <w:rPr>
          <w:sz w:val="24"/>
        </w:rPr>
        <w:t>th</w:t>
      </w:r>
      <w:r w:rsidR="00543099">
        <w:rPr>
          <w:sz w:val="24"/>
        </w:rPr>
        <w:t>is</w:t>
      </w:r>
      <w:r w:rsidR="00A44A54">
        <w:rPr>
          <w:sz w:val="24"/>
        </w:rPr>
        <w:t xml:space="preserve"> area of Loomis Road is identified</w:t>
      </w:r>
      <w:r w:rsidR="00492D7D">
        <w:rPr>
          <w:sz w:val="24"/>
        </w:rPr>
        <w:t xml:space="preserve"> on the latest version of the Town of Farmington Sidewalk</w:t>
      </w:r>
      <w:r w:rsidR="00FA596D">
        <w:rPr>
          <w:sz w:val="24"/>
        </w:rPr>
        <w:t>/</w:t>
      </w:r>
      <w:r w:rsidR="00492D7D">
        <w:rPr>
          <w:sz w:val="24"/>
        </w:rPr>
        <w:t xml:space="preserve">Trail Master Plan </w:t>
      </w:r>
      <w:r w:rsidR="00A44A54">
        <w:rPr>
          <w:sz w:val="24"/>
        </w:rPr>
        <w:t>as an area to have public sidewalks</w:t>
      </w:r>
      <w:r w:rsidR="00492D7D">
        <w:rPr>
          <w:sz w:val="24"/>
        </w:rPr>
        <w:t>.</w:t>
      </w:r>
      <w:r w:rsidR="00A44A54">
        <w:rPr>
          <w:sz w:val="24"/>
        </w:rPr>
        <w:t xml:space="preserve"> </w:t>
      </w:r>
      <w:r w:rsidR="0088588B">
        <w:rPr>
          <w:sz w:val="24"/>
        </w:rPr>
        <w:t>The Board further finds that the applicant</w:t>
      </w:r>
      <w:r w:rsidR="00AA49E8">
        <w:rPr>
          <w:sz w:val="24"/>
        </w:rPr>
        <w:t xml:space="preserve"> has</w:t>
      </w:r>
      <w:r w:rsidR="00132A66">
        <w:rPr>
          <w:sz w:val="24"/>
        </w:rPr>
        <w:t xml:space="preserve"> decided to leave the public sidewalk across the property frontages along Loomis Road as shown on the signed Final Site Plan Map for </w:t>
      </w:r>
      <w:r w:rsidR="0013079D">
        <w:rPr>
          <w:sz w:val="24"/>
        </w:rPr>
        <w:t>Villager P</w:t>
      </w:r>
      <w:r w:rsidR="00543099">
        <w:rPr>
          <w:sz w:val="24"/>
        </w:rPr>
        <w:t>roject.</w:t>
      </w:r>
      <w:r w:rsidR="00CC0379">
        <w:rPr>
          <w:sz w:val="24"/>
        </w:rPr>
        <w:t xml:space="preserve">  The </w:t>
      </w:r>
      <w:r w:rsidR="009B7DFF">
        <w:rPr>
          <w:sz w:val="24"/>
        </w:rPr>
        <w:lastRenderedPageBreak/>
        <w:t>Zoning</w:t>
      </w:r>
      <w:r w:rsidR="00CC0379">
        <w:rPr>
          <w:sz w:val="24"/>
        </w:rPr>
        <w:t xml:space="preserve"> Board</w:t>
      </w:r>
      <w:r w:rsidR="009B7DFF">
        <w:rPr>
          <w:sz w:val="24"/>
        </w:rPr>
        <w:t xml:space="preserve"> of Appeals</w:t>
      </w:r>
      <w:r w:rsidR="00CC0379">
        <w:rPr>
          <w:sz w:val="24"/>
        </w:rPr>
        <w:t xml:space="preserve"> further finds that th</w:t>
      </w:r>
      <w:r w:rsidR="009B7DFF">
        <w:rPr>
          <w:sz w:val="24"/>
        </w:rPr>
        <w:t>e above referenced</w:t>
      </w:r>
      <w:r w:rsidR="00CC0379">
        <w:rPr>
          <w:sz w:val="24"/>
        </w:rPr>
        <w:t xml:space="preserve"> section of the Town Code </w:t>
      </w:r>
      <w:r w:rsidR="00F1620C">
        <w:rPr>
          <w:sz w:val="24"/>
        </w:rPr>
        <w:t xml:space="preserve">requires sidewalks to be installed within the mapped MTOD along </w:t>
      </w:r>
      <w:r w:rsidR="00495363">
        <w:rPr>
          <w:sz w:val="24"/>
        </w:rPr>
        <w:t xml:space="preserve">state, county and town highways that contribute to </w:t>
      </w:r>
      <w:r w:rsidR="007720AE">
        <w:rPr>
          <w:sz w:val="24"/>
        </w:rPr>
        <w:t>the completion of a pedestrian network in the area.</w:t>
      </w:r>
      <w:r w:rsidR="00723F8F">
        <w:rPr>
          <w:sz w:val="24"/>
        </w:rPr>
        <w:t xml:space="preserve"> </w:t>
      </w:r>
    </w:p>
    <w:p w14:paraId="36FE9C26" w14:textId="4A5DA760" w:rsidR="00935C63" w:rsidRDefault="007720AE" w:rsidP="00935C63">
      <w:pPr>
        <w:jc w:val="both"/>
        <w:rPr>
          <w:sz w:val="24"/>
        </w:rPr>
      </w:pPr>
      <w:r>
        <w:rPr>
          <w:sz w:val="24"/>
        </w:rPr>
        <w:t xml:space="preserve">  </w:t>
      </w:r>
    </w:p>
    <w:p w14:paraId="3821A936" w14:textId="4E926352" w:rsidR="007720AE" w:rsidRDefault="007720AE" w:rsidP="00935C63">
      <w:pPr>
        <w:jc w:val="both"/>
        <w:rPr>
          <w:sz w:val="24"/>
        </w:rPr>
      </w:pPr>
      <w:r>
        <w:rPr>
          <w:sz w:val="24"/>
        </w:rPr>
        <w:t xml:space="preserve">The </w:t>
      </w:r>
      <w:r w:rsidR="00723F8F">
        <w:rPr>
          <w:sz w:val="24"/>
        </w:rPr>
        <w:t>Zoning Board of Appeals</w:t>
      </w:r>
      <w:r w:rsidR="00764AA0">
        <w:rPr>
          <w:sz w:val="24"/>
        </w:rPr>
        <w:t xml:space="preserve">, based upon the above findings, determines that granting the requested area variance </w:t>
      </w:r>
      <w:r w:rsidR="00B74FD9">
        <w:rPr>
          <w:sz w:val="24"/>
        </w:rPr>
        <w:t>thereby not requiring the construction of public sidewalk across the Loomis Road frontage</w:t>
      </w:r>
      <w:r w:rsidR="0092176F">
        <w:rPr>
          <w:sz w:val="24"/>
        </w:rPr>
        <w:t xml:space="preserve"> in this planned sidewalk area would create</w:t>
      </w:r>
      <w:r w:rsidR="00B74FD9">
        <w:rPr>
          <w:sz w:val="24"/>
        </w:rPr>
        <w:t xml:space="preserve"> </w:t>
      </w:r>
      <w:r w:rsidR="003603B9" w:rsidRPr="0095010C">
        <w:rPr>
          <w:sz w:val="24"/>
        </w:rPr>
        <w:t>an undesirable change in the character of the neighborhood or</w:t>
      </w:r>
      <w:r w:rsidR="00CF58DD" w:rsidRPr="0095010C">
        <w:rPr>
          <w:sz w:val="24"/>
        </w:rPr>
        <w:t xml:space="preserve"> be</w:t>
      </w:r>
      <w:r w:rsidR="003603B9" w:rsidRPr="0095010C">
        <w:rPr>
          <w:sz w:val="24"/>
        </w:rPr>
        <w:t xml:space="preserve"> a detriment to nearby properties</w:t>
      </w:r>
      <w:r w:rsidR="0095010C" w:rsidRPr="0095010C">
        <w:rPr>
          <w:sz w:val="24"/>
        </w:rPr>
        <w:t>.</w:t>
      </w:r>
    </w:p>
    <w:p w14:paraId="1BB5AC21" w14:textId="77777777" w:rsidR="0040682F" w:rsidRDefault="0040682F" w:rsidP="00935C63">
      <w:pPr>
        <w:jc w:val="both"/>
        <w:rPr>
          <w:b/>
          <w:sz w:val="24"/>
        </w:rPr>
      </w:pPr>
    </w:p>
    <w:p w14:paraId="60B9383E" w14:textId="77777777" w:rsidR="00935C63" w:rsidRDefault="00935C63" w:rsidP="00935C63">
      <w:pPr>
        <w:jc w:val="both"/>
        <w:rPr>
          <w:b/>
          <w:sz w:val="24"/>
        </w:rPr>
      </w:pPr>
    </w:p>
    <w:p w14:paraId="3CAF8594" w14:textId="087578C0" w:rsidR="00935C63" w:rsidRPr="0040682F" w:rsidRDefault="00935C63" w:rsidP="00AA0717">
      <w:pPr>
        <w:tabs>
          <w:tab w:val="left" w:pos="270"/>
        </w:tabs>
        <w:jc w:val="both"/>
        <w:rPr>
          <w:b/>
          <w:bCs/>
          <w:sz w:val="24"/>
        </w:rPr>
      </w:pPr>
      <w:r w:rsidRPr="0040682F">
        <w:rPr>
          <w:b/>
          <w:bCs/>
          <w:sz w:val="24"/>
        </w:rPr>
        <w:t xml:space="preserve">2. Whether the benefit sought by the applicant can be achieved by a feasible alternative to the </w:t>
      </w:r>
      <w:r w:rsidR="007576F0">
        <w:rPr>
          <w:b/>
          <w:bCs/>
          <w:sz w:val="24"/>
        </w:rPr>
        <w:t xml:space="preserve">     </w:t>
      </w:r>
      <w:r w:rsidR="00AA0717">
        <w:rPr>
          <w:b/>
          <w:bCs/>
          <w:sz w:val="24"/>
        </w:rPr>
        <w:t xml:space="preserve">                                 </w:t>
      </w:r>
      <w:r w:rsidRPr="0040682F">
        <w:rPr>
          <w:b/>
          <w:bCs/>
          <w:sz w:val="24"/>
        </w:rPr>
        <w:t>re</w:t>
      </w:r>
      <w:r w:rsidRPr="0040682F">
        <w:rPr>
          <w:b/>
          <w:bCs/>
          <w:sz w:val="24"/>
        </w:rPr>
        <w:softHyphen/>
        <w:t>quested variance.</w:t>
      </w:r>
      <w:r w:rsidRPr="0040682F">
        <w:rPr>
          <w:b/>
          <w:bCs/>
          <w:sz w:val="24"/>
        </w:rPr>
        <w:tab/>
      </w:r>
      <w:r w:rsidRPr="0040682F">
        <w:rPr>
          <w:b/>
          <w:bCs/>
          <w:sz w:val="24"/>
          <w:u w:val="single"/>
        </w:rPr>
        <w:t>____</w:t>
      </w:r>
      <w:r w:rsidRPr="0040682F">
        <w:rPr>
          <w:b/>
          <w:bCs/>
          <w:sz w:val="24"/>
        </w:rPr>
        <w:t xml:space="preserve"> Yes      </w:t>
      </w:r>
      <w:r w:rsidRPr="0040682F">
        <w:rPr>
          <w:b/>
          <w:bCs/>
          <w:sz w:val="24"/>
          <w:u w:val="single"/>
        </w:rPr>
        <w:t>_X_</w:t>
      </w:r>
      <w:r w:rsidRPr="0040682F">
        <w:rPr>
          <w:b/>
          <w:bCs/>
          <w:sz w:val="24"/>
        </w:rPr>
        <w:t xml:space="preserve">  No</w:t>
      </w:r>
    </w:p>
    <w:p w14:paraId="34A45D8D" w14:textId="77777777" w:rsidR="00935C63" w:rsidRPr="000B6DE9" w:rsidRDefault="00935C63" w:rsidP="007576F0">
      <w:pPr>
        <w:ind w:left="360" w:hanging="360"/>
        <w:jc w:val="both"/>
        <w:rPr>
          <w:b/>
          <w:bCs/>
          <w:sz w:val="24"/>
        </w:rPr>
      </w:pPr>
    </w:p>
    <w:p w14:paraId="103A02BF" w14:textId="77777777" w:rsidR="00C7032D" w:rsidRDefault="00935C63" w:rsidP="00935C63">
      <w:pPr>
        <w:jc w:val="both"/>
        <w:rPr>
          <w:sz w:val="24"/>
        </w:rPr>
      </w:pPr>
      <w:r w:rsidRPr="002E7DDE">
        <w:rPr>
          <w:b/>
          <w:bCs/>
          <w:sz w:val="24"/>
        </w:rPr>
        <w:t>Reason:</w:t>
      </w:r>
      <w:r w:rsidRPr="000B6DE9">
        <w:rPr>
          <w:sz w:val="24"/>
        </w:rPr>
        <w:t xml:space="preserve"> </w:t>
      </w:r>
      <w:r>
        <w:rPr>
          <w:sz w:val="24"/>
        </w:rPr>
        <w:t>The Board finds that the</w:t>
      </w:r>
      <w:r w:rsidR="00AB4CA9">
        <w:rPr>
          <w:sz w:val="24"/>
        </w:rPr>
        <w:t>re is no feasible alternative to the requested area variance</w:t>
      </w:r>
      <w:r w:rsidR="00C7032D">
        <w:rPr>
          <w:sz w:val="24"/>
        </w:rPr>
        <w:t>.</w:t>
      </w:r>
    </w:p>
    <w:p w14:paraId="09169748" w14:textId="77777777" w:rsidR="00320558" w:rsidRDefault="00320558" w:rsidP="00935C63">
      <w:pPr>
        <w:jc w:val="both"/>
        <w:rPr>
          <w:sz w:val="24"/>
        </w:rPr>
      </w:pPr>
    </w:p>
    <w:p w14:paraId="20A5BB72" w14:textId="66F0CE13" w:rsidR="00935C63" w:rsidRPr="00912F01" w:rsidRDefault="00C7032D" w:rsidP="00935C63">
      <w:pPr>
        <w:jc w:val="both"/>
        <w:rPr>
          <w:sz w:val="24"/>
        </w:rPr>
      </w:pPr>
      <w:r>
        <w:rPr>
          <w:sz w:val="24"/>
        </w:rPr>
        <w:t>The Zoning Board of Appeals</w:t>
      </w:r>
      <w:r w:rsidR="00320558">
        <w:rPr>
          <w:sz w:val="24"/>
        </w:rPr>
        <w:t xml:space="preserve">, based upon their above finding that </w:t>
      </w:r>
      <w:r w:rsidR="0011506E">
        <w:rPr>
          <w:sz w:val="24"/>
        </w:rPr>
        <w:t xml:space="preserve">the Town has identified </w:t>
      </w:r>
      <w:r w:rsidR="00C24908">
        <w:rPr>
          <w:sz w:val="24"/>
        </w:rPr>
        <w:t xml:space="preserve">this area for sidewalks and </w:t>
      </w:r>
      <w:r w:rsidR="0065021E">
        <w:rPr>
          <w:sz w:val="24"/>
        </w:rPr>
        <w:t xml:space="preserve">that </w:t>
      </w:r>
      <w:r w:rsidR="00C24908">
        <w:rPr>
          <w:sz w:val="24"/>
        </w:rPr>
        <w:t xml:space="preserve">this </w:t>
      </w:r>
      <w:r w:rsidR="00C92003">
        <w:rPr>
          <w:sz w:val="24"/>
        </w:rPr>
        <w:t>site contributes to the completion of a</w:t>
      </w:r>
      <w:r w:rsidR="002E7DDE">
        <w:rPr>
          <w:sz w:val="24"/>
        </w:rPr>
        <w:t xml:space="preserve"> planned</w:t>
      </w:r>
      <w:r w:rsidR="00C92003">
        <w:rPr>
          <w:sz w:val="24"/>
        </w:rPr>
        <w:t xml:space="preserve"> pedestrian network</w:t>
      </w:r>
      <w:r w:rsidR="00E84253">
        <w:rPr>
          <w:sz w:val="24"/>
        </w:rPr>
        <w:t xml:space="preserve"> cannot grant a variance for not </w:t>
      </w:r>
      <w:r w:rsidR="00355DA7">
        <w:rPr>
          <w:sz w:val="24"/>
        </w:rPr>
        <w:t>contributing sidewalks to this planned area</w:t>
      </w:r>
      <w:r w:rsidR="004B51DC">
        <w:rPr>
          <w:sz w:val="24"/>
        </w:rPr>
        <w:t>.</w:t>
      </w:r>
      <w:r w:rsidR="00935C63">
        <w:rPr>
          <w:sz w:val="24"/>
        </w:rPr>
        <w:t xml:space="preserve"> </w:t>
      </w:r>
      <w:r w:rsidR="00935C63" w:rsidRPr="005E2AB8">
        <w:rPr>
          <w:sz w:val="24"/>
        </w:rPr>
        <w:t>The Board, based upon th</w:t>
      </w:r>
      <w:r w:rsidR="00941F6B">
        <w:rPr>
          <w:sz w:val="24"/>
        </w:rPr>
        <w:t>i</w:t>
      </w:r>
      <w:r w:rsidR="00935C63" w:rsidRPr="005E2AB8">
        <w:rPr>
          <w:sz w:val="24"/>
        </w:rPr>
        <w:t xml:space="preserve">s finding, determines that </w:t>
      </w:r>
      <w:r w:rsidR="00375729">
        <w:rPr>
          <w:sz w:val="24"/>
        </w:rPr>
        <w:t xml:space="preserve">there is no feasible alternative </w:t>
      </w:r>
      <w:r w:rsidR="00770938">
        <w:rPr>
          <w:sz w:val="24"/>
        </w:rPr>
        <w:t xml:space="preserve">to </w:t>
      </w:r>
      <w:r w:rsidR="00935C63" w:rsidRPr="005E2AB8">
        <w:rPr>
          <w:sz w:val="24"/>
        </w:rPr>
        <w:t>the</w:t>
      </w:r>
      <w:r w:rsidR="00770938">
        <w:rPr>
          <w:sz w:val="24"/>
        </w:rPr>
        <w:t xml:space="preserve"> required installation of public sidewalk in this location</w:t>
      </w:r>
      <w:r w:rsidR="00755A1D">
        <w:rPr>
          <w:sz w:val="24"/>
        </w:rPr>
        <w:t xml:space="preserve"> at the time of proposed development.</w:t>
      </w:r>
    </w:p>
    <w:p w14:paraId="1114DA5C" w14:textId="77777777" w:rsidR="00935C63" w:rsidRPr="000B6DE9" w:rsidRDefault="00935C63" w:rsidP="00935C63">
      <w:pPr>
        <w:jc w:val="both"/>
        <w:rPr>
          <w:b/>
          <w:bCs/>
          <w:sz w:val="24"/>
        </w:rPr>
      </w:pPr>
    </w:p>
    <w:p w14:paraId="6809BC02" w14:textId="77777777" w:rsidR="00935C63" w:rsidRDefault="00935C63" w:rsidP="00935C63">
      <w:pPr>
        <w:jc w:val="both"/>
        <w:rPr>
          <w:b/>
          <w:bCs/>
          <w:sz w:val="24"/>
        </w:rPr>
      </w:pPr>
    </w:p>
    <w:p w14:paraId="587E8898" w14:textId="16FD96B5" w:rsidR="00935C63" w:rsidRPr="007576F0" w:rsidRDefault="00935C63" w:rsidP="00935C63">
      <w:pPr>
        <w:jc w:val="both"/>
        <w:rPr>
          <w:b/>
          <w:bCs/>
          <w:sz w:val="24"/>
        </w:rPr>
      </w:pPr>
      <w:r w:rsidRPr="007576F0">
        <w:rPr>
          <w:b/>
          <w:bCs/>
          <w:sz w:val="24"/>
        </w:rPr>
        <w:t>3. Whether the requested variance is substantial.</w:t>
      </w:r>
      <w:r w:rsidRPr="007576F0">
        <w:rPr>
          <w:b/>
          <w:bCs/>
          <w:sz w:val="24"/>
        </w:rPr>
        <w:tab/>
        <w:t>_</w:t>
      </w:r>
      <w:r w:rsidRPr="007576F0">
        <w:rPr>
          <w:b/>
          <w:bCs/>
          <w:sz w:val="24"/>
          <w:u w:val="single"/>
        </w:rPr>
        <w:t>_X_</w:t>
      </w:r>
      <w:r w:rsidRPr="007576F0">
        <w:rPr>
          <w:b/>
          <w:bCs/>
          <w:sz w:val="24"/>
        </w:rPr>
        <w:t>Yes</w:t>
      </w:r>
      <w:r w:rsidRPr="007576F0">
        <w:rPr>
          <w:b/>
          <w:bCs/>
          <w:sz w:val="24"/>
        </w:rPr>
        <w:tab/>
        <w:t>_</w:t>
      </w:r>
      <w:r w:rsidR="00FE24AD">
        <w:rPr>
          <w:b/>
          <w:bCs/>
          <w:sz w:val="24"/>
          <w:u w:val="single"/>
        </w:rPr>
        <w:t>___</w:t>
      </w:r>
      <w:r w:rsidRPr="007576F0">
        <w:rPr>
          <w:b/>
          <w:bCs/>
          <w:sz w:val="24"/>
        </w:rPr>
        <w:t xml:space="preserve"> No</w:t>
      </w:r>
    </w:p>
    <w:p w14:paraId="094B1054" w14:textId="77777777" w:rsidR="00935C63" w:rsidRPr="000B6DE9" w:rsidRDefault="00935C63" w:rsidP="00935C63">
      <w:pPr>
        <w:jc w:val="both"/>
        <w:rPr>
          <w:b/>
          <w:bCs/>
          <w:sz w:val="24"/>
        </w:rPr>
      </w:pPr>
    </w:p>
    <w:p w14:paraId="1FBE2994" w14:textId="69503A42" w:rsidR="00935C63" w:rsidRPr="000B6DE9" w:rsidRDefault="00935C63" w:rsidP="00935C63">
      <w:pPr>
        <w:jc w:val="both"/>
        <w:rPr>
          <w:b/>
          <w:bCs/>
          <w:sz w:val="24"/>
        </w:rPr>
      </w:pPr>
      <w:r w:rsidRPr="00406085">
        <w:rPr>
          <w:b/>
          <w:bCs/>
          <w:sz w:val="24"/>
        </w:rPr>
        <w:t>Reason:</w:t>
      </w:r>
      <w:r w:rsidRPr="000B6DE9">
        <w:rPr>
          <w:sz w:val="24"/>
        </w:rPr>
        <w:t xml:space="preserve"> </w:t>
      </w:r>
      <w:r w:rsidRPr="009F1870">
        <w:rPr>
          <w:sz w:val="24"/>
        </w:rPr>
        <w:t xml:space="preserve">The Board finds that the requested </w:t>
      </w:r>
      <w:r>
        <w:rPr>
          <w:sz w:val="24"/>
        </w:rPr>
        <w:t xml:space="preserve">relief from the installation of </w:t>
      </w:r>
      <w:r w:rsidR="00FE24AD">
        <w:rPr>
          <w:sz w:val="24"/>
        </w:rPr>
        <w:t>public sidewalks</w:t>
      </w:r>
      <w:r>
        <w:rPr>
          <w:sz w:val="24"/>
        </w:rPr>
        <w:t xml:space="preserve"> </w:t>
      </w:r>
      <w:r w:rsidRPr="009F1870">
        <w:rPr>
          <w:sz w:val="24"/>
        </w:rPr>
        <w:t>involves</w:t>
      </w:r>
      <w:r>
        <w:rPr>
          <w:sz w:val="24"/>
        </w:rPr>
        <w:t xml:space="preserve"> granting</w:t>
      </w:r>
      <w:r w:rsidRPr="009F1870">
        <w:rPr>
          <w:sz w:val="24"/>
        </w:rPr>
        <w:t xml:space="preserve"> </w:t>
      </w:r>
      <w:r>
        <w:rPr>
          <w:sz w:val="24"/>
        </w:rPr>
        <w:t xml:space="preserve">a </w:t>
      </w:r>
      <w:r w:rsidRPr="009F1870">
        <w:rPr>
          <w:sz w:val="24"/>
        </w:rPr>
        <w:t>variance</w:t>
      </w:r>
      <w:r>
        <w:rPr>
          <w:sz w:val="24"/>
        </w:rPr>
        <w:t xml:space="preserve"> of</w:t>
      </w:r>
      <w:r w:rsidRPr="00B33338">
        <w:rPr>
          <w:sz w:val="24"/>
        </w:rPr>
        <w:t xml:space="preserve"> </w:t>
      </w:r>
      <w:r>
        <w:rPr>
          <w:sz w:val="24"/>
        </w:rPr>
        <w:t xml:space="preserve">one hundred percent (100%) from that required by Town Code. </w:t>
      </w:r>
      <w:r w:rsidRPr="009F1870">
        <w:rPr>
          <w:sz w:val="24"/>
        </w:rPr>
        <w:t>The Board has consistently found that a variance involving</w:t>
      </w:r>
      <w:r>
        <w:rPr>
          <w:sz w:val="24"/>
        </w:rPr>
        <w:t xml:space="preserve"> encroachment of</w:t>
      </w:r>
      <w:r w:rsidRPr="009F1870">
        <w:rPr>
          <w:sz w:val="24"/>
        </w:rPr>
        <w:t xml:space="preserve"> fifty percent (50%) or</w:t>
      </w:r>
      <w:r>
        <w:rPr>
          <w:sz w:val="24"/>
        </w:rPr>
        <w:t xml:space="preserve"> </w:t>
      </w:r>
      <w:r w:rsidRPr="009F1870">
        <w:rPr>
          <w:sz w:val="24"/>
        </w:rPr>
        <w:t>more is a substantial variance</w:t>
      </w:r>
      <w:r>
        <w:rPr>
          <w:sz w:val="24"/>
        </w:rPr>
        <w:t>.</w:t>
      </w:r>
    </w:p>
    <w:p w14:paraId="5D4DDC0B" w14:textId="77777777" w:rsidR="00935C63" w:rsidRDefault="00935C63" w:rsidP="00935C63">
      <w:pPr>
        <w:jc w:val="both"/>
        <w:rPr>
          <w:bCs/>
          <w:sz w:val="24"/>
        </w:rPr>
      </w:pPr>
    </w:p>
    <w:p w14:paraId="0EFF8491" w14:textId="77777777" w:rsidR="00935C63" w:rsidRPr="000B6DE9" w:rsidRDefault="00935C63" w:rsidP="00935C63">
      <w:pPr>
        <w:jc w:val="both"/>
        <w:rPr>
          <w:b/>
          <w:bCs/>
          <w:sz w:val="24"/>
        </w:rPr>
      </w:pPr>
    </w:p>
    <w:p w14:paraId="7AB31199" w14:textId="77777777" w:rsidR="00C44107" w:rsidRDefault="00935C63" w:rsidP="00935C63">
      <w:pPr>
        <w:jc w:val="both"/>
        <w:rPr>
          <w:b/>
          <w:bCs/>
          <w:sz w:val="24"/>
        </w:rPr>
      </w:pPr>
      <w:r w:rsidRPr="004C786E">
        <w:rPr>
          <w:b/>
          <w:bCs/>
          <w:sz w:val="24"/>
        </w:rPr>
        <w:t xml:space="preserve">4. Whether the proposed variance will have an adverse effect or impact upon the physical </w:t>
      </w:r>
    </w:p>
    <w:p w14:paraId="7B8D57BC" w14:textId="50244410" w:rsidR="00935C63" w:rsidRPr="004C786E" w:rsidRDefault="00C44107" w:rsidP="00935C63">
      <w:pPr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     </w:t>
      </w:r>
      <w:r w:rsidR="00935C63" w:rsidRPr="004C786E">
        <w:rPr>
          <w:b/>
          <w:bCs/>
          <w:sz w:val="24"/>
        </w:rPr>
        <w:t>en</w:t>
      </w:r>
      <w:r w:rsidR="00935C63" w:rsidRPr="004C786E">
        <w:rPr>
          <w:b/>
          <w:bCs/>
          <w:sz w:val="24"/>
        </w:rPr>
        <w:softHyphen/>
        <w:t>viron</w:t>
      </w:r>
      <w:r w:rsidR="00935C63" w:rsidRPr="004C786E">
        <w:rPr>
          <w:b/>
          <w:bCs/>
          <w:sz w:val="24"/>
        </w:rPr>
        <w:softHyphen/>
        <w:t>mental conditions in the neighborhood or district.</w:t>
      </w:r>
      <w:r w:rsidR="00935C63" w:rsidRPr="004C786E">
        <w:rPr>
          <w:b/>
          <w:bCs/>
          <w:sz w:val="24"/>
        </w:rPr>
        <w:tab/>
        <w:t xml:space="preserve">___ Yes    </w:t>
      </w:r>
      <w:r w:rsidR="00935C63" w:rsidRPr="00C44107">
        <w:rPr>
          <w:b/>
          <w:bCs/>
          <w:sz w:val="24"/>
          <w:u w:val="single"/>
        </w:rPr>
        <w:t>_</w:t>
      </w:r>
      <w:r w:rsidR="00935C63" w:rsidRPr="004C786E">
        <w:rPr>
          <w:b/>
          <w:bCs/>
          <w:sz w:val="24"/>
          <w:u w:val="single"/>
        </w:rPr>
        <w:t>X_</w:t>
      </w:r>
      <w:r w:rsidR="00935C63" w:rsidRPr="004C786E">
        <w:rPr>
          <w:b/>
          <w:bCs/>
          <w:sz w:val="24"/>
        </w:rPr>
        <w:t xml:space="preserve"> No</w:t>
      </w:r>
    </w:p>
    <w:p w14:paraId="786BB5D0" w14:textId="77777777" w:rsidR="00935C63" w:rsidRPr="000B6DE9" w:rsidRDefault="00935C63" w:rsidP="00935C63">
      <w:pPr>
        <w:jc w:val="both"/>
        <w:rPr>
          <w:b/>
          <w:bCs/>
          <w:sz w:val="24"/>
        </w:rPr>
      </w:pPr>
    </w:p>
    <w:p w14:paraId="572AE9C4" w14:textId="0E91A2AF" w:rsidR="00935C63" w:rsidRPr="000B6DE9" w:rsidRDefault="00935C63" w:rsidP="00935C63">
      <w:pPr>
        <w:jc w:val="both"/>
        <w:rPr>
          <w:b/>
          <w:bCs/>
          <w:sz w:val="24"/>
          <w:szCs w:val="24"/>
        </w:rPr>
      </w:pPr>
      <w:r w:rsidRPr="00C44107">
        <w:rPr>
          <w:b/>
          <w:bCs/>
          <w:sz w:val="24"/>
          <w:szCs w:val="24"/>
        </w:rPr>
        <w:t>Reason:</w:t>
      </w:r>
      <w:r w:rsidRPr="000B6DE9">
        <w:rPr>
          <w:sz w:val="24"/>
          <w:szCs w:val="24"/>
        </w:rPr>
        <w:t xml:space="preserve"> The Board has considered the criteria for determining significance, as set forth in</w:t>
      </w:r>
      <w:r>
        <w:rPr>
          <w:sz w:val="24"/>
          <w:szCs w:val="24"/>
        </w:rPr>
        <w:t xml:space="preserve"> 6 NYCRR, Part</w:t>
      </w:r>
      <w:r w:rsidRPr="000B6DE9">
        <w:rPr>
          <w:sz w:val="24"/>
          <w:szCs w:val="24"/>
        </w:rPr>
        <w:t xml:space="preserve"> 617.7 of the SEQR Regulations. The Board finds that the proposed Action is clas</w:t>
      </w:r>
      <w:r w:rsidRPr="000B6DE9">
        <w:rPr>
          <w:sz w:val="24"/>
          <w:szCs w:val="24"/>
        </w:rPr>
        <w:softHyphen/>
      </w:r>
      <w:r w:rsidRPr="000B6DE9">
        <w:rPr>
          <w:sz w:val="24"/>
          <w:szCs w:val="24"/>
        </w:rPr>
        <w:softHyphen/>
        <w:t>sified as a Type II Action under</w:t>
      </w:r>
      <w:r>
        <w:rPr>
          <w:sz w:val="24"/>
          <w:szCs w:val="24"/>
        </w:rPr>
        <w:t xml:space="preserve"> 6 NYCRR, Part</w:t>
      </w:r>
      <w:r w:rsidRPr="000B6DE9">
        <w:rPr>
          <w:sz w:val="24"/>
          <w:szCs w:val="24"/>
        </w:rPr>
        <w:t xml:space="preserve"> 617.5 (c)</w:t>
      </w:r>
      <w:r>
        <w:rPr>
          <w:sz w:val="24"/>
          <w:szCs w:val="24"/>
        </w:rPr>
        <w:t xml:space="preserve"> </w:t>
      </w:r>
      <w:r w:rsidRPr="000B6DE9">
        <w:rPr>
          <w:sz w:val="24"/>
          <w:szCs w:val="24"/>
        </w:rPr>
        <w:t xml:space="preserve">of </w:t>
      </w:r>
      <w:r>
        <w:rPr>
          <w:sz w:val="24"/>
          <w:szCs w:val="24"/>
        </w:rPr>
        <w:t xml:space="preserve">article 8 of </w:t>
      </w:r>
      <w:r w:rsidRPr="000B6DE9">
        <w:rPr>
          <w:sz w:val="24"/>
          <w:szCs w:val="24"/>
        </w:rPr>
        <w:t>the New York State Environmental Con</w:t>
      </w:r>
      <w:r w:rsidRPr="000B6DE9">
        <w:rPr>
          <w:sz w:val="24"/>
          <w:szCs w:val="24"/>
        </w:rPr>
        <w:softHyphen/>
      </w:r>
      <w:r w:rsidRPr="000B6DE9">
        <w:rPr>
          <w:sz w:val="24"/>
          <w:szCs w:val="24"/>
        </w:rPr>
        <w:softHyphen/>
        <w:t xml:space="preserve">servation Law (ECL). </w:t>
      </w:r>
      <w:r>
        <w:rPr>
          <w:sz w:val="24"/>
          <w:szCs w:val="24"/>
        </w:rPr>
        <w:t xml:space="preserve"> </w:t>
      </w:r>
      <w:r w:rsidRPr="000B6DE9">
        <w:rPr>
          <w:sz w:val="24"/>
          <w:szCs w:val="24"/>
        </w:rPr>
        <w:t>The Board finds that Type II Actions</w:t>
      </w:r>
      <w:r>
        <w:rPr>
          <w:sz w:val="24"/>
          <w:szCs w:val="24"/>
        </w:rPr>
        <w:t xml:space="preserve"> listed within the ECL</w:t>
      </w:r>
      <w:r w:rsidRPr="000B6DE9">
        <w:rPr>
          <w:sz w:val="24"/>
          <w:szCs w:val="24"/>
        </w:rPr>
        <w:t xml:space="preserve"> have been determined not to have a significant adverse impact upon the environment and has thereby satisfied the pro</w:t>
      </w:r>
      <w:r w:rsidRPr="000B6DE9">
        <w:rPr>
          <w:sz w:val="24"/>
          <w:szCs w:val="24"/>
        </w:rPr>
        <w:softHyphen/>
        <w:t>cedural requirements of the ECL.</w:t>
      </w:r>
    </w:p>
    <w:p w14:paraId="2456F220" w14:textId="77777777" w:rsidR="00935C63" w:rsidRPr="000B6DE9" w:rsidRDefault="00935C63" w:rsidP="00935C63">
      <w:pPr>
        <w:jc w:val="both"/>
        <w:rPr>
          <w:b/>
          <w:bCs/>
          <w:sz w:val="24"/>
          <w:szCs w:val="24"/>
        </w:rPr>
      </w:pPr>
    </w:p>
    <w:p w14:paraId="36937B02" w14:textId="77777777" w:rsidR="00935C63" w:rsidRPr="000B6DE9" w:rsidRDefault="00935C63" w:rsidP="00935C63">
      <w:pPr>
        <w:jc w:val="both"/>
        <w:rPr>
          <w:b/>
          <w:bCs/>
          <w:sz w:val="24"/>
          <w:szCs w:val="24"/>
        </w:rPr>
      </w:pPr>
    </w:p>
    <w:p w14:paraId="52E2DD35" w14:textId="27EE0BBE" w:rsidR="00935C63" w:rsidRPr="00395160" w:rsidRDefault="00935C63" w:rsidP="00395160">
      <w:pPr>
        <w:tabs>
          <w:tab w:val="left" w:pos="270"/>
        </w:tabs>
        <w:jc w:val="both"/>
        <w:rPr>
          <w:b/>
          <w:bCs/>
          <w:sz w:val="24"/>
        </w:rPr>
      </w:pPr>
      <w:r w:rsidRPr="00395160">
        <w:rPr>
          <w:b/>
          <w:bCs/>
          <w:sz w:val="24"/>
        </w:rPr>
        <w:t xml:space="preserve">5. Whether the alleged difficulty was self-created which consideration shall be relevant to the </w:t>
      </w:r>
      <w:r w:rsidR="00395160">
        <w:rPr>
          <w:b/>
          <w:bCs/>
          <w:sz w:val="24"/>
        </w:rPr>
        <w:tab/>
      </w:r>
      <w:r w:rsidRPr="00395160">
        <w:rPr>
          <w:b/>
          <w:bCs/>
          <w:sz w:val="24"/>
        </w:rPr>
        <w:t>decision of the board of appeals but shall not necessarily preclude the granting of the Area</w:t>
      </w:r>
      <w:r w:rsidR="00395160">
        <w:rPr>
          <w:b/>
          <w:bCs/>
          <w:sz w:val="24"/>
        </w:rPr>
        <w:tab/>
      </w:r>
      <w:r w:rsidRPr="00395160">
        <w:rPr>
          <w:b/>
          <w:bCs/>
          <w:sz w:val="24"/>
        </w:rPr>
        <w:t>Vari</w:t>
      </w:r>
      <w:r w:rsidRPr="00395160">
        <w:rPr>
          <w:b/>
          <w:bCs/>
          <w:sz w:val="24"/>
        </w:rPr>
        <w:softHyphen/>
        <w:t>ance.</w:t>
      </w:r>
      <w:r w:rsidRPr="00395160">
        <w:rPr>
          <w:b/>
          <w:bCs/>
          <w:sz w:val="24"/>
        </w:rPr>
        <w:tab/>
      </w:r>
      <w:r w:rsidRPr="00395160">
        <w:rPr>
          <w:b/>
          <w:bCs/>
          <w:sz w:val="24"/>
          <w:u w:val="single"/>
        </w:rPr>
        <w:t>_X__</w:t>
      </w:r>
      <w:r w:rsidRPr="00395160">
        <w:rPr>
          <w:b/>
          <w:bCs/>
          <w:sz w:val="24"/>
        </w:rPr>
        <w:t xml:space="preserve"> Yes        ____ No</w:t>
      </w:r>
    </w:p>
    <w:p w14:paraId="644D2028" w14:textId="77777777" w:rsidR="00935C63" w:rsidRPr="000B6DE9" w:rsidRDefault="00935C63" w:rsidP="00935C63">
      <w:pPr>
        <w:jc w:val="both"/>
        <w:rPr>
          <w:b/>
          <w:bCs/>
          <w:sz w:val="24"/>
        </w:rPr>
      </w:pPr>
    </w:p>
    <w:p w14:paraId="0224D651" w14:textId="77777777" w:rsidR="002F5AF5" w:rsidRDefault="00935C63" w:rsidP="00935C63">
      <w:pPr>
        <w:jc w:val="both"/>
        <w:rPr>
          <w:sz w:val="24"/>
        </w:rPr>
      </w:pPr>
      <w:r w:rsidRPr="00632B5C">
        <w:rPr>
          <w:b/>
          <w:bCs/>
          <w:sz w:val="24"/>
        </w:rPr>
        <w:t>Reasons:</w:t>
      </w:r>
      <w:r w:rsidRPr="000B6DE9">
        <w:rPr>
          <w:sz w:val="24"/>
        </w:rPr>
        <w:t xml:space="preserve"> The </w:t>
      </w:r>
      <w:r w:rsidR="0077623E">
        <w:rPr>
          <w:sz w:val="24"/>
        </w:rPr>
        <w:t xml:space="preserve">Zoning </w:t>
      </w:r>
      <w:r w:rsidRPr="000B6DE9">
        <w:rPr>
          <w:sz w:val="24"/>
        </w:rPr>
        <w:t>Board</w:t>
      </w:r>
      <w:r w:rsidR="0077623E">
        <w:rPr>
          <w:sz w:val="24"/>
        </w:rPr>
        <w:t xml:space="preserve"> of Appeals</w:t>
      </w:r>
      <w:r w:rsidRPr="000B6DE9">
        <w:rPr>
          <w:sz w:val="24"/>
        </w:rPr>
        <w:t xml:space="preserve"> finds</w:t>
      </w:r>
      <w:r w:rsidRPr="005E2AB8">
        <w:rPr>
          <w:sz w:val="24"/>
        </w:rPr>
        <w:t xml:space="preserve"> that the alleged difficulty was self-created</w:t>
      </w:r>
      <w:r>
        <w:rPr>
          <w:sz w:val="24"/>
        </w:rPr>
        <w:t xml:space="preserve">, as the Applicant </w:t>
      </w:r>
      <w:r w:rsidR="00CC7E82">
        <w:rPr>
          <w:sz w:val="24"/>
        </w:rPr>
        <w:t>was aware of the MTOD sidewalk provisions contained in the Town Code prior to acquiring title to the property.</w:t>
      </w:r>
      <w:r w:rsidR="0077623E">
        <w:rPr>
          <w:sz w:val="24"/>
        </w:rPr>
        <w:t xml:space="preserve"> </w:t>
      </w:r>
      <w:r w:rsidR="005F1168">
        <w:rPr>
          <w:sz w:val="24"/>
        </w:rPr>
        <w:t xml:space="preserve"> </w:t>
      </w:r>
      <w:r w:rsidR="0077623E">
        <w:rPr>
          <w:sz w:val="24"/>
        </w:rPr>
        <w:t xml:space="preserve"> The Board</w:t>
      </w:r>
      <w:r w:rsidR="00910285">
        <w:rPr>
          <w:sz w:val="24"/>
        </w:rPr>
        <w:t xml:space="preserve"> also finds that the Applicant has decided to include</w:t>
      </w:r>
      <w:r w:rsidR="00B561B9">
        <w:rPr>
          <w:sz w:val="24"/>
        </w:rPr>
        <w:t xml:space="preserve"> the costs of </w:t>
      </w:r>
      <w:r w:rsidR="00B561B9">
        <w:rPr>
          <w:sz w:val="24"/>
        </w:rPr>
        <w:lastRenderedPageBreak/>
        <w:t>constructing said sidewalk in his proposed Letter of Credit for the Villager Project.</w:t>
      </w:r>
      <w:r w:rsidR="00CC7E82">
        <w:rPr>
          <w:sz w:val="24"/>
        </w:rPr>
        <w:t xml:space="preserve">  </w:t>
      </w:r>
      <w:r w:rsidR="00144853">
        <w:rPr>
          <w:sz w:val="24"/>
        </w:rPr>
        <w:t xml:space="preserve">The Board further finds that the Planning Board, at its meeting on August 20, 2025, accepted the </w:t>
      </w:r>
      <w:r w:rsidR="00E171D6">
        <w:rPr>
          <w:sz w:val="24"/>
        </w:rPr>
        <w:t xml:space="preserve">Applicant’s Engineer’s Estimated Cost of Site Improvements and recommended to the Town Board that they also accept the identified site improvement that is to be dedicated to the Town.  </w:t>
      </w:r>
    </w:p>
    <w:p w14:paraId="2BEF0A19" w14:textId="77777777" w:rsidR="002F5AF5" w:rsidRDefault="002F5AF5" w:rsidP="00935C63">
      <w:pPr>
        <w:jc w:val="both"/>
        <w:rPr>
          <w:sz w:val="24"/>
        </w:rPr>
      </w:pPr>
    </w:p>
    <w:p w14:paraId="7DD77991" w14:textId="721DAE0E" w:rsidR="00935C63" w:rsidRDefault="00935C63" w:rsidP="00935C63">
      <w:pPr>
        <w:jc w:val="both"/>
        <w:rPr>
          <w:b/>
          <w:bCs/>
          <w:sz w:val="24"/>
        </w:rPr>
      </w:pPr>
      <w:r>
        <w:rPr>
          <w:sz w:val="24"/>
        </w:rPr>
        <w:t>Therefore, based upon th</w:t>
      </w:r>
      <w:r w:rsidR="002F5AF5">
        <w:rPr>
          <w:sz w:val="24"/>
        </w:rPr>
        <w:t>e</w:t>
      </w:r>
      <w:r>
        <w:rPr>
          <w:sz w:val="24"/>
        </w:rPr>
        <w:t>s</w:t>
      </w:r>
      <w:r w:rsidR="002F5AF5">
        <w:rPr>
          <w:sz w:val="24"/>
        </w:rPr>
        <w:t xml:space="preserve">e </w:t>
      </w:r>
      <w:r>
        <w:rPr>
          <w:sz w:val="24"/>
        </w:rPr>
        <w:t>finding</w:t>
      </w:r>
      <w:r w:rsidR="002F5AF5">
        <w:rPr>
          <w:sz w:val="24"/>
        </w:rPr>
        <w:t>s</w:t>
      </w:r>
      <w:r>
        <w:rPr>
          <w:sz w:val="24"/>
        </w:rPr>
        <w:t>, the Board determines the alleged difficulty is self-created and that granting the requested relief would</w:t>
      </w:r>
      <w:r w:rsidR="00856974">
        <w:rPr>
          <w:sz w:val="24"/>
        </w:rPr>
        <w:t xml:space="preserve"> not</w:t>
      </w:r>
      <w:r>
        <w:rPr>
          <w:sz w:val="24"/>
        </w:rPr>
        <w:t xml:space="preserve"> be </w:t>
      </w:r>
      <w:r w:rsidR="00AA7CC5">
        <w:rPr>
          <w:sz w:val="24"/>
        </w:rPr>
        <w:t>in the best interests of the health, safety and general welfare of the community as is</w:t>
      </w:r>
      <w:r>
        <w:rPr>
          <w:sz w:val="24"/>
        </w:rPr>
        <w:t xml:space="preserve"> otherwise required by New York State Town Law.</w:t>
      </w:r>
    </w:p>
    <w:p w14:paraId="4E5FA41D" w14:textId="77777777" w:rsidR="00935C63" w:rsidRDefault="00935C63" w:rsidP="00935C63">
      <w:pPr>
        <w:jc w:val="center"/>
        <w:rPr>
          <w:bCs/>
          <w:sz w:val="24"/>
          <w:szCs w:val="28"/>
        </w:rPr>
      </w:pPr>
    </w:p>
    <w:p w14:paraId="733DB438" w14:textId="77777777" w:rsidR="00632B5C" w:rsidRDefault="00632B5C" w:rsidP="00935C63">
      <w:pPr>
        <w:jc w:val="center"/>
        <w:rPr>
          <w:bCs/>
          <w:sz w:val="24"/>
          <w:szCs w:val="28"/>
        </w:rPr>
      </w:pPr>
    </w:p>
    <w:p w14:paraId="4627D0DD" w14:textId="77777777" w:rsidR="00935C63" w:rsidRDefault="00935C63" w:rsidP="00935C63">
      <w:pPr>
        <w:rPr>
          <w:bCs/>
          <w:sz w:val="24"/>
          <w:szCs w:val="28"/>
        </w:rPr>
      </w:pPr>
    </w:p>
    <w:p w14:paraId="00849072" w14:textId="77777777" w:rsidR="00935C63" w:rsidRPr="00632B5C" w:rsidRDefault="00935C63" w:rsidP="00935C63">
      <w:pPr>
        <w:jc w:val="center"/>
        <w:rPr>
          <w:b/>
          <w:bCs/>
          <w:sz w:val="24"/>
          <w:szCs w:val="28"/>
        </w:rPr>
      </w:pPr>
      <w:r w:rsidRPr="00632B5C">
        <w:rPr>
          <w:b/>
          <w:bCs/>
          <w:sz w:val="24"/>
          <w:szCs w:val="28"/>
        </w:rPr>
        <w:t>DETERMINATION OF THE ZONING BOARD OF APPEALS</w:t>
      </w:r>
    </w:p>
    <w:p w14:paraId="78A616F0" w14:textId="77777777" w:rsidR="00935C63" w:rsidRPr="000B6DE9" w:rsidRDefault="00935C63" w:rsidP="00935C63">
      <w:pPr>
        <w:jc w:val="center"/>
        <w:rPr>
          <w:bCs/>
          <w:sz w:val="24"/>
          <w:szCs w:val="28"/>
        </w:rPr>
      </w:pPr>
      <w:r w:rsidRPr="00632B5C">
        <w:rPr>
          <w:b/>
          <w:bCs/>
          <w:sz w:val="24"/>
          <w:szCs w:val="28"/>
        </w:rPr>
        <w:t>BASED UPON THE ABOVE FACTORS</w:t>
      </w:r>
    </w:p>
    <w:p w14:paraId="16CAF7DE" w14:textId="77777777" w:rsidR="00935C63" w:rsidRPr="000B6DE9" w:rsidRDefault="00935C63" w:rsidP="00935C63">
      <w:pPr>
        <w:jc w:val="both"/>
        <w:rPr>
          <w:bCs/>
          <w:sz w:val="24"/>
          <w:szCs w:val="28"/>
        </w:rPr>
      </w:pPr>
    </w:p>
    <w:p w14:paraId="0393B646" w14:textId="40FB2D9E" w:rsidR="00935C63" w:rsidRPr="000B6DE9" w:rsidRDefault="00935C63" w:rsidP="00935C63">
      <w:pPr>
        <w:jc w:val="both"/>
        <w:rPr>
          <w:b/>
          <w:bCs/>
          <w:sz w:val="24"/>
        </w:rPr>
      </w:pPr>
      <w:r w:rsidRPr="000B6DE9">
        <w:rPr>
          <w:sz w:val="24"/>
        </w:rPr>
        <w:t xml:space="preserve">The Zoning Board of Appeals, after reviewing the above five </w:t>
      </w:r>
      <w:r w:rsidR="00632B5C">
        <w:rPr>
          <w:sz w:val="24"/>
        </w:rPr>
        <w:t>factors</w:t>
      </w:r>
      <w:r w:rsidRPr="000B6DE9">
        <w:rPr>
          <w:sz w:val="24"/>
        </w:rPr>
        <w:t xml:space="preserve">, </w:t>
      </w:r>
      <w:r>
        <w:rPr>
          <w:sz w:val="24"/>
        </w:rPr>
        <w:t>makes the following decision:</w:t>
      </w:r>
    </w:p>
    <w:p w14:paraId="54C45EDD" w14:textId="77777777" w:rsidR="00935C63" w:rsidRPr="000B6DE9" w:rsidRDefault="00935C63" w:rsidP="00935C63">
      <w:pPr>
        <w:tabs>
          <w:tab w:val="left" w:pos="360"/>
        </w:tabs>
        <w:jc w:val="both"/>
        <w:rPr>
          <w:b/>
          <w:bCs/>
          <w:sz w:val="24"/>
        </w:rPr>
      </w:pPr>
    </w:p>
    <w:p w14:paraId="0C783069" w14:textId="4FCE187B" w:rsidR="00935C63" w:rsidRDefault="00935C63" w:rsidP="00935C63">
      <w:pPr>
        <w:pStyle w:val="ListParagraph"/>
        <w:rPr>
          <w:rFonts w:ascii="Times New Roman" w:eastAsia="Times New Roman" w:hAnsi="Times New Roman"/>
          <w:b/>
          <w:bCs/>
          <w:sz w:val="24"/>
        </w:rPr>
      </w:pPr>
      <w:r w:rsidRPr="00206A76">
        <w:rPr>
          <w:rFonts w:ascii="Times New Roman" w:eastAsia="Times New Roman" w:hAnsi="Times New Roman"/>
          <w:b/>
          <w:bCs/>
          <w:sz w:val="24"/>
        </w:rPr>
        <w:t>That the benefit to the applicant does</w:t>
      </w:r>
      <w:r w:rsidR="00DF529C">
        <w:rPr>
          <w:rFonts w:ascii="Times New Roman" w:eastAsia="Times New Roman" w:hAnsi="Times New Roman"/>
          <w:b/>
          <w:bCs/>
          <w:sz w:val="24"/>
        </w:rPr>
        <w:t xml:space="preserve"> not</w:t>
      </w:r>
      <w:r>
        <w:rPr>
          <w:rFonts w:ascii="Times New Roman" w:eastAsia="Times New Roman" w:hAnsi="Times New Roman"/>
          <w:b/>
          <w:bCs/>
          <w:sz w:val="24"/>
        </w:rPr>
        <w:t xml:space="preserve"> </w:t>
      </w:r>
      <w:r w:rsidRPr="00206A76">
        <w:rPr>
          <w:rFonts w:ascii="Times New Roman" w:eastAsia="Times New Roman" w:hAnsi="Times New Roman"/>
          <w:b/>
          <w:bCs/>
          <w:sz w:val="24"/>
        </w:rPr>
        <w:t>outweigh</w:t>
      </w:r>
      <w:r>
        <w:rPr>
          <w:rFonts w:ascii="Times New Roman" w:eastAsia="Times New Roman" w:hAnsi="Times New Roman"/>
          <w:b/>
          <w:bCs/>
          <w:sz w:val="24"/>
        </w:rPr>
        <w:t xml:space="preserve"> a</w:t>
      </w:r>
      <w:r w:rsidRPr="00206A76">
        <w:rPr>
          <w:rFonts w:ascii="Times New Roman" w:eastAsia="Times New Roman" w:hAnsi="Times New Roman"/>
          <w:b/>
          <w:bCs/>
          <w:sz w:val="24"/>
        </w:rPr>
        <w:t xml:space="preserve"> known detriment to the community or neighborhood; and, therefore, the requested area variance </w:t>
      </w:r>
      <w:r w:rsidRPr="00206A76">
        <w:rPr>
          <w:rFonts w:ascii="Times New Roman" w:hAnsi="Times New Roman"/>
          <w:b/>
          <w:bCs/>
          <w:sz w:val="24"/>
          <w:szCs w:val="24"/>
        </w:rPr>
        <w:t>is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F529C">
        <w:rPr>
          <w:rFonts w:ascii="Times New Roman" w:hAnsi="Times New Roman"/>
          <w:b/>
          <w:bCs/>
          <w:sz w:val="24"/>
          <w:szCs w:val="24"/>
        </w:rPr>
        <w:t>DENIE</w:t>
      </w:r>
      <w:r>
        <w:rPr>
          <w:rFonts w:ascii="Times New Roman" w:hAnsi="Times New Roman"/>
          <w:b/>
          <w:bCs/>
          <w:sz w:val="24"/>
          <w:szCs w:val="24"/>
        </w:rPr>
        <w:t>D</w:t>
      </w:r>
      <w:r w:rsidR="00DF529C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4B024FF0" w14:textId="77777777" w:rsidR="00DF529C" w:rsidRDefault="00DF529C" w:rsidP="00935C63">
      <w:pPr>
        <w:autoSpaceDE/>
        <w:jc w:val="both"/>
        <w:rPr>
          <w:sz w:val="24"/>
          <w:szCs w:val="24"/>
        </w:rPr>
      </w:pPr>
    </w:p>
    <w:p w14:paraId="46295B40" w14:textId="77777777" w:rsidR="00DF529C" w:rsidRDefault="00DF529C" w:rsidP="00935C63">
      <w:pPr>
        <w:autoSpaceDE/>
        <w:jc w:val="both"/>
        <w:rPr>
          <w:sz w:val="24"/>
          <w:szCs w:val="24"/>
        </w:rPr>
      </w:pPr>
    </w:p>
    <w:p w14:paraId="429E8E54" w14:textId="32C18C1F" w:rsidR="00935C63" w:rsidRPr="000B6DE9" w:rsidRDefault="00935C63" w:rsidP="00935C63">
      <w:pPr>
        <w:autoSpaceDE/>
        <w:jc w:val="both"/>
        <w:rPr>
          <w:b/>
          <w:bCs/>
          <w:sz w:val="24"/>
          <w:szCs w:val="24"/>
        </w:rPr>
      </w:pPr>
      <w:r w:rsidRPr="003665B5">
        <w:rPr>
          <w:b/>
          <w:bCs/>
          <w:sz w:val="24"/>
          <w:szCs w:val="24"/>
        </w:rPr>
        <w:t>NOW, THEREFORE, BE IT RESOLVED</w:t>
      </w:r>
      <w:r w:rsidRPr="000B6DE9">
        <w:rPr>
          <w:sz w:val="24"/>
          <w:szCs w:val="24"/>
        </w:rPr>
        <w:t xml:space="preserve"> that the Board in making this De</w:t>
      </w:r>
      <w:r>
        <w:rPr>
          <w:sz w:val="24"/>
          <w:szCs w:val="24"/>
        </w:rPr>
        <w:t>cision</w:t>
      </w:r>
      <w:r w:rsidRPr="000B6DE9">
        <w:rPr>
          <w:sz w:val="24"/>
          <w:szCs w:val="24"/>
        </w:rPr>
        <w:t xml:space="preserve"> has satis</w:t>
      </w:r>
      <w:r w:rsidRPr="000B6DE9">
        <w:rPr>
          <w:sz w:val="24"/>
          <w:szCs w:val="24"/>
        </w:rPr>
        <w:softHyphen/>
        <w:t>fied the procedural requirements under New York State Town Law and the Town of Farm</w:t>
      </w:r>
      <w:r w:rsidRPr="000B6DE9">
        <w:rPr>
          <w:sz w:val="24"/>
          <w:szCs w:val="24"/>
        </w:rPr>
        <w:softHyphen/>
        <w:t>ing</w:t>
      </w:r>
      <w:r w:rsidRPr="000B6DE9">
        <w:rPr>
          <w:sz w:val="24"/>
          <w:szCs w:val="24"/>
        </w:rPr>
        <w:softHyphen/>
        <w:t xml:space="preserve">ton Town Code. </w:t>
      </w:r>
    </w:p>
    <w:p w14:paraId="57C6F246" w14:textId="77777777" w:rsidR="00935C63" w:rsidRDefault="00935C63" w:rsidP="00935C63">
      <w:pPr>
        <w:jc w:val="both"/>
        <w:rPr>
          <w:sz w:val="24"/>
          <w:szCs w:val="24"/>
        </w:rPr>
      </w:pPr>
    </w:p>
    <w:p w14:paraId="06494565" w14:textId="77777777" w:rsidR="00935C63" w:rsidRPr="000B6DE9" w:rsidRDefault="00935C63" w:rsidP="00935C63">
      <w:pPr>
        <w:jc w:val="both"/>
        <w:rPr>
          <w:b/>
          <w:sz w:val="24"/>
        </w:rPr>
      </w:pPr>
      <w:r w:rsidRPr="003665B5">
        <w:rPr>
          <w:b/>
          <w:bCs/>
          <w:sz w:val="24"/>
          <w:szCs w:val="24"/>
        </w:rPr>
        <w:t>BE IT FINALLY RESOLVED</w:t>
      </w:r>
      <w:r w:rsidRPr="000B6DE9">
        <w:rPr>
          <w:sz w:val="24"/>
          <w:szCs w:val="24"/>
        </w:rPr>
        <w:t xml:space="preserve"> that the Board directs this Resolution be placed in the public file upon this Action and that a copy hereof be provided to the applicant.</w:t>
      </w:r>
    </w:p>
    <w:p w14:paraId="43F7DEA0" w14:textId="77777777" w:rsidR="00935C63" w:rsidRDefault="00935C63" w:rsidP="00935C63">
      <w:pPr>
        <w:jc w:val="both"/>
        <w:rPr>
          <w:b/>
          <w:sz w:val="24"/>
        </w:rPr>
      </w:pPr>
    </w:p>
    <w:p w14:paraId="512D1812" w14:textId="77777777" w:rsidR="00633191" w:rsidRPr="000B6DE9" w:rsidRDefault="00633191" w:rsidP="00935C63">
      <w:pPr>
        <w:jc w:val="both"/>
        <w:rPr>
          <w:b/>
          <w:sz w:val="24"/>
        </w:rPr>
      </w:pPr>
    </w:p>
    <w:p w14:paraId="17247D0A" w14:textId="77777777" w:rsidR="00935C63" w:rsidRPr="000B6DE9" w:rsidRDefault="00935C63" w:rsidP="00935C63">
      <w:pPr>
        <w:jc w:val="both"/>
        <w:rPr>
          <w:b/>
          <w:sz w:val="24"/>
        </w:rPr>
      </w:pPr>
      <w:r w:rsidRPr="000B6DE9">
        <w:rPr>
          <w:sz w:val="24"/>
        </w:rPr>
        <w:t xml:space="preserve">The above resolution was offered by </w:t>
      </w:r>
      <w:r>
        <w:rPr>
          <w:sz w:val="24"/>
        </w:rPr>
        <w:t>____________</w:t>
      </w:r>
      <w:r w:rsidRPr="000B6DE9">
        <w:rPr>
          <w:sz w:val="24"/>
        </w:rPr>
        <w:t xml:space="preserve"> and seconded by </w:t>
      </w:r>
      <w:r>
        <w:rPr>
          <w:sz w:val="24"/>
        </w:rPr>
        <w:t>____________</w:t>
      </w:r>
      <w:r w:rsidRPr="000B6DE9">
        <w:rPr>
          <w:sz w:val="24"/>
        </w:rPr>
        <w:t>at a regu</w:t>
      </w:r>
      <w:r w:rsidRPr="000B6DE9">
        <w:rPr>
          <w:sz w:val="24"/>
        </w:rPr>
        <w:softHyphen/>
        <w:t xml:space="preserve">larly scheduled meeting of the Zoning Board of Appeals held on Monday, </w:t>
      </w:r>
      <w:r>
        <w:rPr>
          <w:sz w:val="24"/>
        </w:rPr>
        <w:t>August 25, 2025</w:t>
      </w:r>
      <w:r w:rsidRPr="000B6DE9">
        <w:rPr>
          <w:sz w:val="24"/>
        </w:rPr>
        <w:t xml:space="preserve">. </w:t>
      </w:r>
      <w:r>
        <w:rPr>
          <w:sz w:val="24"/>
        </w:rPr>
        <w:t xml:space="preserve"> After Board discussion</w:t>
      </w:r>
      <w:r w:rsidRPr="000B6DE9">
        <w:rPr>
          <w:sz w:val="24"/>
        </w:rPr>
        <w:t>, the following roll call vote was recorded:</w:t>
      </w:r>
    </w:p>
    <w:p w14:paraId="6DDDA519" w14:textId="77777777" w:rsidR="00935C63" w:rsidRDefault="00935C63" w:rsidP="00935C63">
      <w:pPr>
        <w:jc w:val="both"/>
        <w:rPr>
          <w:b/>
          <w:sz w:val="24"/>
        </w:rPr>
      </w:pPr>
    </w:p>
    <w:p w14:paraId="6B13A053" w14:textId="77777777" w:rsidR="00935C63" w:rsidRDefault="00935C63" w:rsidP="00935C63">
      <w:pPr>
        <w:jc w:val="both"/>
        <w:rPr>
          <w:b/>
          <w:sz w:val="24"/>
        </w:rPr>
      </w:pPr>
    </w:p>
    <w:p w14:paraId="6AFA6DE3" w14:textId="77777777" w:rsidR="00935C63" w:rsidRPr="000B6DE9" w:rsidRDefault="00935C63" w:rsidP="00935C63">
      <w:pPr>
        <w:jc w:val="both"/>
        <w:rPr>
          <w:b/>
          <w:sz w:val="24"/>
        </w:rPr>
      </w:pPr>
    </w:p>
    <w:p w14:paraId="2456804C" w14:textId="77777777" w:rsidR="00935C63" w:rsidRPr="00A21997" w:rsidRDefault="00935C63" w:rsidP="00935C63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Ralph Bocchino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21997">
        <w:rPr>
          <w:sz w:val="24"/>
          <w:szCs w:val="24"/>
        </w:rPr>
        <w:t>Aye or Nay</w:t>
      </w:r>
    </w:p>
    <w:p w14:paraId="2584AD91" w14:textId="77777777" w:rsidR="00935C63" w:rsidRPr="00A21997" w:rsidRDefault="00935C63" w:rsidP="00935C63">
      <w:pPr>
        <w:jc w:val="both"/>
        <w:rPr>
          <w:b/>
          <w:sz w:val="24"/>
          <w:szCs w:val="24"/>
        </w:rPr>
      </w:pPr>
      <w:r w:rsidRPr="00A21997">
        <w:rPr>
          <w:sz w:val="24"/>
          <w:szCs w:val="24"/>
        </w:rPr>
        <w:t>Kelly Cochran</w:t>
      </w:r>
      <w:r>
        <w:rPr>
          <w:sz w:val="24"/>
          <w:szCs w:val="24"/>
        </w:rPr>
        <w:t>e</w:t>
      </w:r>
      <w:r w:rsidRPr="00A21997">
        <w:rPr>
          <w:sz w:val="24"/>
          <w:szCs w:val="24"/>
        </w:rPr>
        <w:tab/>
      </w:r>
      <w:r w:rsidRPr="00A21997">
        <w:rPr>
          <w:sz w:val="24"/>
          <w:szCs w:val="24"/>
        </w:rPr>
        <w:tab/>
        <w:t>Aye or Nay</w:t>
      </w:r>
    </w:p>
    <w:p w14:paraId="6E0351DD" w14:textId="77777777" w:rsidR="00935C63" w:rsidRDefault="00935C63" w:rsidP="00935C63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Matt DeMarco</w:t>
      </w:r>
      <w:r w:rsidRPr="00A21997">
        <w:rPr>
          <w:sz w:val="24"/>
          <w:szCs w:val="24"/>
        </w:rPr>
        <w:tab/>
      </w:r>
      <w:r w:rsidRPr="00A21997">
        <w:rPr>
          <w:sz w:val="24"/>
          <w:szCs w:val="24"/>
        </w:rPr>
        <w:tab/>
      </w:r>
      <w:r w:rsidRPr="00A21997">
        <w:rPr>
          <w:sz w:val="24"/>
          <w:szCs w:val="24"/>
        </w:rPr>
        <w:tab/>
        <w:t>Aye or Nay</w:t>
      </w:r>
    </w:p>
    <w:p w14:paraId="10688259" w14:textId="77777777" w:rsidR="00935C63" w:rsidRDefault="00935C63" w:rsidP="00935C63">
      <w:pPr>
        <w:jc w:val="both"/>
        <w:rPr>
          <w:b/>
          <w:sz w:val="24"/>
          <w:szCs w:val="24"/>
        </w:rPr>
      </w:pPr>
      <w:r w:rsidRPr="00A21997">
        <w:rPr>
          <w:sz w:val="24"/>
          <w:szCs w:val="24"/>
        </w:rPr>
        <w:t>To</w:t>
      </w:r>
      <w:r>
        <w:rPr>
          <w:sz w:val="24"/>
          <w:szCs w:val="24"/>
        </w:rPr>
        <w:t>m</w:t>
      </w:r>
      <w:r w:rsidRPr="00A21997">
        <w:rPr>
          <w:sz w:val="24"/>
          <w:szCs w:val="24"/>
        </w:rPr>
        <w:t xml:space="preserve"> </w:t>
      </w:r>
      <w:r>
        <w:rPr>
          <w:sz w:val="24"/>
          <w:szCs w:val="24"/>
        </w:rPr>
        <w:t>Lay</w:t>
      </w:r>
      <w:r w:rsidRPr="00A21997">
        <w:rPr>
          <w:sz w:val="24"/>
          <w:szCs w:val="24"/>
        </w:rPr>
        <w:tab/>
      </w:r>
      <w:r w:rsidRPr="00A21997">
        <w:rPr>
          <w:sz w:val="24"/>
          <w:szCs w:val="24"/>
        </w:rPr>
        <w:tab/>
      </w:r>
      <w:r w:rsidRPr="00A21997">
        <w:rPr>
          <w:sz w:val="24"/>
          <w:szCs w:val="24"/>
        </w:rPr>
        <w:tab/>
        <w:t>Aye or Nay</w:t>
      </w:r>
    </w:p>
    <w:p w14:paraId="145D5BF0" w14:textId="77777777" w:rsidR="00935C63" w:rsidRPr="00A21997" w:rsidRDefault="00935C63" w:rsidP="00935C63">
      <w:pPr>
        <w:jc w:val="both"/>
        <w:rPr>
          <w:b/>
          <w:sz w:val="24"/>
          <w:szCs w:val="24"/>
        </w:rPr>
      </w:pPr>
      <w:r w:rsidRPr="00A21997">
        <w:rPr>
          <w:sz w:val="24"/>
          <w:szCs w:val="24"/>
        </w:rPr>
        <w:t>Thomas Yourch</w:t>
      </w:r>
      <w:r w:rsidRPr="00A21997">
        <w:rPr>
          <w:sz w:val="24"/>
          <w:szCs w:val="24"/>
        </w:rPr>
        <w:tab/>
      </w:r>
      <w:r w:rsidRPr="00A21997">
        <w:rPr>
          <w:sz w:val="24"/>
          <w:szCs w:val="24"/>
        </w:rPr>
        <w:tab/>
        <w:t>Aye or Nay</w:t>
      </w:r>
    </w:p>
    <w:p w14:paraId="5C9CC43A" w14:textId="77777777" w:rsidR="00935C63" w:rsidRDefault="00935C63" w:rsidP="00935C63">
      <w:pPr>
        <w:jc w:val="both"/>
        <w:rPr>
          <w:b/>
          <w:sz w:val="24"/>
        </w:rPr>
      </w:pPr>
    </w:p>
    <w:p w14:paraId="0520CE33" w14:textId="77777777" w:rsidR="00935C63" w:rsidRPr="000B6DE9" w:rsidRDefault="00935C63" w:rsidP="00935C63">
      <w:pPr>
        <w:jc w:val="both"/>
        <w:rPr>
          <w:b/>
          <w:sz w:val="24"/>
        </w:rPr>
      </w:pPr>
    </w:p>
    <w:p w14:paraId="569327EF" w14:textId="77777777" w:rsidR="00935C63" w:rsidRPr="000B6DE9" w:rsidRDefault="00935C63" w:rsidP="00935C63">
      <w:pPr>
        <w:jc w:val="both"/>
        <w:rPr>
          <w:b/>
          <w:sz w:val="24"/>
        </w:rPr>
      </w:pPr>
      <w:r w:rsidRPr="000B6DE9">
        <w:rPr>
          <w:sz w:val="24"/>
        </w:rPr>
        <w:t xml:space="preserve">I, </w:t>
      </w:r>
      <w:bookmarkStart w:id="0" w:name="_Hlk101879499"/>
      <w:r>
        <w:rPr>
          <w:sz w:val="24"/>
        </w:rPr>
        <w:t>Carol Marvel</w:t>
      </w:r>
      <w:r w:rsidRPr="000B6DE9">
        <w:rPr>
          <w:sz w:val="24"/>
        </w:rPr>
        <w:t>, Clerk</w:t>
      </w:r>
      <w:r>
        <w:rPr>
          <w:sz w:val="24"/>
        </w:rPr>
        <w:t xml:space="preserve"> </w:t>
      </w:r>
      <w:r>
        <w:rPr>
          <w:i/>
          <w:iCs/>
          <w:sz w:val="24"/>
        </w:rPr>
        <w:t>Pro-Tem</w:t>
      </w:r>
      <w:r>
        <w:rPr>
          <w:sz w:val="24"/>
        </w:rPr>
        <w:t xml:space="preserve"> </w:t>
      </w:r>
      <w:bookmarkEnd w:id="0"/>
      <w:r w:rsidRPr="000B6DE9">
        <w:rPr>
          <w:sz w:val="24"/>
        </w:rPr>
        <w:t>of the Board, do hereby attest to the accuracy of the above Resolu</w:t>
      </w:r>
      <w:r w:rsidRPr="000B6DE9">
        <w:rPr>
          <w:sz w:val="24"/>
        </w:rPr>
        <w:softHyphen/>
        <w:t xml:space="preserve">tion being acted upon and recorded in the minutes of the Farmington Zoning Board of Appeals for the </w:t>
      </w:r>
      <w:r>
        <w:rPr>
          <w:sz w:val="24"/>
        </w:rPr>
        <w:t>August 25, 2025</w:t>
      </w:r>
      <w:r w:rsidRPr="000B6DE9">
        <w:rPr>
          <w:sz w:val="24"/>
        </w:rPr>
        <w:t>, Meeting.</w:t>
      </w:r>
    </w:p>
    <w:p w14:paraId="666FD882" w14:textId="77777777" w:rsidR="00935C63" w:rsidRPr="000B6DE9" w:rsidRDefault="00935C63" w:rsidP="00935C63">
      <w:pPr>
        <w:jc w:val="both"/>
        <w:rPr>
          <w:b/>
          <w:sz w:val="24"/>
        </w:rPr>
      </w:pPr>
    </w:p>
    <w:p w14:paraId="6BD1E783" w14:textId="77777777" w:rsidR="00935C63" w:rsidRPr="000B6DE9" w:rsidRDefault="00935C63" w:rsidP="00935C63">
      <w:pPr>
        <w:jc w:val="both"/>
        <w:rPr>
          <w:b/>
          <w:sz w:val="24"/>
        </w:rPr>
      </w:pPr>
      <w:r w:rsidRPr="000B6DE9">
        <w:rPr>
          <w:sz w:val="24"/>
        </w:rPr>
        <w:t>________________________________ L.S.</w:t>
      </w:r>
    </w:p>
    <w:p w14:paraId="6EAB8931" w14:textId="77777777" w:rsidR="00935C63" w:rsidRPr="000B6DE9" w:rsidRDefault="00935C63" w:rsidP="00935C63">
      <w:pPr>
        <w:jc w:val="both"/>
        <w:rPr>
          <w:b/>
          <w:sz w:val="24"/>
        </w:rPr>
      </w:pPr>
      <w:r>
        <w:rPr>
          <w:sz w:val="24"/>
        </w:rPr>
        <w:t>Carol Marvel</w:t>
      </w:r>
    </w:p>
    <w:p w14:paraId="212820FD" w14:textId="02100BF1" w:rsidR="006F4CFC" w:rsidRDefault="00935C63" w:rsidP="00F97902">
      <w:pPr>
        <w:jc w:val="both"/>
        <w:rPr>
          <w:rFonts w:ascii="Book Antiqua" w:hAnsi="Book Antiqua"/>
          <w:sz w:val="24"/>
        </w:rPr>
      </w:pPr>
      <w:r w:rsidRPr="000B6DE9">
        <w:rPr>
          <w:sz w:val="24"/>
        </w:rPr>
        <w:t>Clerk</w:t>
      </w:r>
      <w:r>
        <w:rPr>
          <w:i/>
          <w:iCs/>
          <w:sz w:val="24"/>
        </w:rPr>
        <w:t xml:space="preserve"> Pro-Tem </w:t>
      </w:r>
      <w:r w:rsidRPr="000B6DE9">
        <w:rPr>
          <w:sz w:val="24"/>
        </w:rPr>
        <w:t>of the Zoning Board of Appeals</w:t>
      </w:r>
    </w:p>
    <w:p w14:paraId="0801EFBC" w14:textId="77777777" w:rsidR="006F4CFC" w:rsidRDefault="006F4CFC" w:rsidP="006A0FB0">
      <w:pPr>
        <w:jc w:val="center"/>
        <w:rPr>
          <w:rFonts w:ascii="Book Antiqua" w:hAnsi="Book Antiqua"/>
          <w:sz w:val="24"/>
        </w:rPr>
      </w:pPr>
    </w:p>
    <w:p w14:paraId="1370F7F5" w14:textId="77777777" w:rsidR="006F4CFC" w:rsidRDefault="006F4CFC" w:rsidP="006A0FB0">
      <w:pPr>
        <w:jc w:val="center"/>
        <w:rPr>
          <w:rFonts w:ascii="Book Antiqua" w:hAnsi="Book Antiqua"/>
          <w:sz w:val="24"/>
        </w:rPr>
      </w:pPr>
    </w:p>
    <w:p w14:paraId="44CD5201" w14:textId="77777777" w:rsidR="006F4CFC" w:rsidRDefault="006F4CFC" w:rsidP="006A0FB0">
      <w:pPr>
        <w:jc w:val="center"/>
        <w:rPr>
          <w:rFonts w:ascii="Book Antiqua" w:hAnsi="Book Antiqua"/>
          <w:sz w:val="24"/>
        </w:rPr>
      </w:pPr>
    </w:p>
    <w:sectPr w:rsidR="006F4C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80" w:right="1008" w:bottom="720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F69E2F" w14:textId="77777777" w:rsidR="008733FF" w:rsidRDefault="008733FF">
      <w:r>
        <w:separator/>
      </w:r>
    </w:p>
  </w:endnote>
  <w:endnote w:type="continuationSeparator" w:id="0">
    <w:p w14:paraId="59843072" w14:textId="77777777" w:rsidR="008733FF" w:rsidRDefault="00873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F372D3" w14:textId="77777777" w:rsidR="00D036FE" w:rsidRDefault="00D036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65766D" w14:textId="77777777" w:rsidR="00D036FE" w:rsidRDefault="00D036F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5DC28" w14:textId="77777777" w:rsidR="00D036FE" w:rsidRDefault="00D036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872CC5" w14:textId="77777777" w:rsidR="008733FF" w:rsidRDefault="008733FF">
      <w:r>
        <w:separator/>
      </w:r>
    </w:p>
  </w:footnote>
  <w:footnote w:type="continuationSeparator" w:id="0">
    <w:p w14:paraId="1DF85FE7" w14:textId="77777777" w:rsidR="008733FF" w:rsidRDefault="008733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3B6A8" w14:textId="77777777" w:rsidR="00D036FE" w:rsidRDefault="00D036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19528" w14:textId="6EA2F2C6" w:rsidR="00D036FE" w:rsidRDefault="00000000" w:rsidP="00D036FE">
    <w:pPr>
      <w:pStyle w:val="Header"/>
      <w:rPr>
        <w:b/>
        <w:bCs/>
        <w:i/>
        <w:iCs/>
        <w:sz w:val="18"/>
        <w:szCs w:val="18"/>
      </w:rPr>
    </w:pPr>
    <w:sdt>
      <w:sdtPr>
        <w:rPr>
          <w:b/>
          <w:bCs/>
          <w:i/>
          <w:iCs/>
          <w:smallCaps/>
          <w:sz w:val="18"/>
          <w:szCs w:val="18"/>
        </w:rPr>
        <w:id w:val="-728758254"/>
        <w:docPartObj>
          <w:docPartGallery w:val="Watermarks"/>
          <w:docPartUnique/>
        </w:docPartObj>
      </w:sdtPr>
      <w:sdtContent>
        <w:r>
          <w:rPr>
            <w:b/>
            <w:bCs/>
            <w:i/>
            <w:iCs/>
            <w:smallCaps/>
            <w:noProof/>
            <w:sz w:val="18"/>
            <w:szCs w:val="18"/>
          </w:rPr>
          <w:pict w14:anchorId="4375652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42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427DC8">
      <w:rPr>
        <w:b/>
        <w:bCs/>
        <w:i/>
        <w:iCs/>
        <w:smallCaps/>
        <w:sz w:val="18"/>
        <w:szCs w:val="18"/>
      </w:rPr>
      <w:t>Page 1 of 2</w:t>
    </w:r>
    <w:r w:rsidR="00427DC8">
      <w:rPr>
        <w:b/>
        <w:bCs/>
        <w:i/>
        <w:iCs/>
        <w:smallCaps/>
        <w:sz w:val="18"/>
        <w:szCs w:val="18"/>
      </w:rPr>
      <w:tab/>
    </w:r>
    <w:r w:rsidR="00D036FE">
      <w:rPr>
        <w:b/>
        <w:bCs/>
        <w:i/>
        <w:iCs/>
        <w:smallCaps/>
        <w:sz w:val="18"/>
        <w:szCs w:val="18"/>
      </w:rPr>
      <w:t xml:space="preserve">                                                 </w:t>
    </w:r>
    <w:r w:rsidR="00D036FE">
      <w:rPr>
        <w:b/>
        <w:bCs/>
        <w:i/>
        <w:iCs/>
        <w:sz w:val="18"/>
        <w:szCs w:val="18"/>
      </w:rPr>
      <w:t>ZB #2025-0705, T&amp;M Properties of WNY, LLC. Loomis Road                        August 25, 2025</w:t>
    </w:r>
  </w:p>
  <w:p w14:paraId="4613EB49" w14:textId="77777777" w:rsidR="00D036FE" w:rsidRDefault="00D036FE" w:rsidP="00D036FE">
    <w:pPr>
      <w:pStyle w:val="Header"/>
      <w:jc w:val="center"/>
      <w:rPr>
        <w:b/>
        <w:bCs/>
        <w:i/>
        <w:iCs/>
        <w:sz w:val="18"/>
        <w:szCs w:val="18"/>
      </w:rPr>
    </w:pPr>
    <w:r>
      <w:rPr>
        <w:b/>
        <w:bCs/>
        <w:i/>
        <w:iCs/>
        <w:sz w:val="18"/>
        <w:szCs w:val="18"/>
      </w:rPr>
      <w:t>Area Variance Findings and Decision - Sidewalk Construction within MTOD</w:t>
    </w:r>
  </w:p>
  <w:p w14:paraId="4C3DFA2A" w14:textId="05361B80" w:rsidR="00F60397" w:rsidRDefault="00F60397" w:rsidP="00D036FE">
    <w:pPr>
      <w:pStyle w:val="Header"/>
      <w:pBdr>
        <w:bottom w:val="single" w:sz="12" w:space="1" w:color="auto"/>
      </w:pBdr>
      <w:tabs>
        <w:tab w:val="clear" w:pos="4320"/>
        <w:tab w:val="clear" w:pos="8640"/>
        <w:tab w:val="center" w:pos="4896"/>
        <w:tab w:val="right" w:pos="9792"/>
      </w:tabs>
      <w:rPr>
        <w:smallCaps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09822" w14:textId="151D7FA5" w:rsidR="00427DC8" w:rsidRDefault="00427DC8" w:rsidP="00427DC8">
    <w:pPr>
      <w:pStyle w:val="Header"/>
      <w:rPr>
        <w:b/>
        <w:bCs/>
        <w:i/>
        <w:iCs/>
        <w:sz w:val="18"/>
        <w:szCs w:val="18"/>
      </w:rPr>
    </w:pPr>
    <w:r>
      <w:rPr>
        <w:b/>
        <w:bCs/>
        <w:i/>
        <w:iCs/>
        <w:sz w:val="18"/>
        <w:szCs w:val="18"/>
      </w:rPr>
      <w:t xml:space="preserve">Page 1 of </w:t>
    </w:r>
    <w:r w:rsidR="00FD1152">
      <w:rPr>
        <w:b/>
        <w:bCs/>
        <w:i/>
        <w:iCs/>
        <w:sz w:val="18"/>
        <w:szCs w:val="18"/>
      </w:rPr>
      <w:t>1</w:t>
    </w:r>
    <w:r>
      <w:rPr>
        <w:b/>
        <w:bCs/>
        <w:i/>
        <w:iCs/>
        <w:sz w:val="18"/>
        <w:szCs w:val="18"/>
      </w:rPr>
      <w:t xml:space="preserve">                              </w:t>
    </w:r>
    <w:r w:rsidR="00CC415F">
      <w:rPr>
        <w:b/>
        <w:bCs/>
        <w:i/>
        <w:iCs/>
        <w:sz w:val="18"/>
        <w:szCs w:val="18"/>
      </w:rPr>
      <w:t xml:space="preserve">       </w:t>
    </w:r>
    <w:r w:rsidR="00E560AD">
      <w:rPr>
        <w:b/>
        <w:bCs/>
        <w:i/>
        <w:iCs/>
        <w:sz w:val="18"/>
        <w:szCs w:val="18"/>
      </w:rPr>
      <w:t xml:space="preserve"> </w:t>
    </w:r>
    <w:r w:rsidR="00C66F78">
      <w:rPr>
        <w:b/>
        <w:bCs/>
        <w:i/>
        <w:iCs/>
        <w:sz w:val="18"/>
        <w:szCs w:val="18"/>
      </w:rPr>
      <w:t>Z</w:t>
    </w:r>
    <w:r>
      <w:rPr>
        <w:b/>
        <w:bCs/>
        <w:i/>
        <w:iCs/>
        <w:sz w:val="18"/>
        <w:szCs w:val="18"/>
      </w:rPr>
      <w:t>B #</w:t>
    </w:r>
    <w:r w:rsidR="007B2AA2">
      <w:rPr>
        <w:b/>
        <w:bCs/>
        <w:i/>
        <w:iCs/>
        <w:sz w:val="18"/>
        <w:szCs w:val="18"/>
      </w:rPr>
      <w:t>2025</w:t>
    </w:r>
    <w:r>
      <w:rPr>
        <w:b/>
        <w:bCs/>
        <w:i/>
        <w:iCs/>
        <w:sz w:val="18"/>
        <w:szCs w:val="18"/>
      </w:rPr>
      <w:t>-</w:t>
    </w:r>
    <w:r w:rsidR="00C66F78">
      <w:rPr>
        <w:b/>
        <w:bCs/>
        <w:i/>
        <w:iCs/>
        <w:sz w:val="18"/>
        <w:szCs w:val="18"/>
      </w:rPr>
      <w:t>070</w:t>
    </w:r>
    <w:r w:rsidR="00355C3A">
      <w:rPr>
        <w:b/>
        <w:bCs/>
        <w:i/>
        <w:iCs/>
        <w:sz w:val="18"/>
        <w:szCs w:val="18"/>
      </w:rPr>
      <w:t>5</w:t>
    </w:r>
    <w:r>
      <w:rPr>
        <w:b/>
        <w:bCs/>
        <w:i/>
        <w:iCs/>
        <w:sz w:val="18"/>
        <w:szCs w:val="18"/>
      </w:rPr>
      <w:t xml:space="preserve">, </w:t>
    </w:r>
    <w:r w:rsidR="00265A0B">
      <w:rPr>
        <w:b/>
        <w:bCs/>
        <w:i/>
        <w:iCs/>
        <w:sz w:val="18"/>
        <w:szCs w:val="18"/>
      </w:rPr>
      <w:t>T&amp;M Properties of WNY, LLC</w:t>
    </w:r>
    <w:r w:rsidR="00555C29">
      <w:rPr>
        <w:b/>
        <w:bCs/>
        <w:i/>
        <w:iCs/>
        <w:sz w:val="18"/>
        <w:szCs w:val="18"/>
      </w:rPr>
      <w:t>. Loomis Road</w:t>
    </w:r>
    <w:r w:rsidR="005B4247">
      <w:rPr>
        <w:b/>
        <w:bCs/>
        <w:i/>
        <w:iCs/>
        <w:sz w:val="18"/>
        <w:szCs w:val="18"/>
      </w:rPr>
      <w:t xml:space="preserve">   </w:t>
    </w:r>
    <w:r w:rsidR="000C1C9C">
      <w:rPr>
        <w:b/>
        <w:bCs/>
        <w:i/>
        <w:iCs/>
        <w:sz w:val="18"/>
        <w:szCs w:val="18"/>
      </w:rPr>
      <w:t xml:space="preserve">     </w:t>
    </w:r>
    <w:r w:rsidR="005B4247">
      <w:rPr>
        <w:b/>
        <w:bCs/>
        <w:i/>
        <w:iCs/>
        <w:sz w:val="18"/>
        <w:szCs w:val="18"/>
      </w:rPr>
      <w:t xml:space="preserve">        </w:t>
    </w:r>
    <w:r w:rsidR="00D54DE8">
      <w:rPr>
        <w:b/>
        <w:bCs/>
        <w:i/>
        <w:iCs/>
        <w:sz w:val="18"/>
        <w:szCs w:val="18"/>
      </w:rPr>
      <w:t xml:space="preserve">        August 25, 2025</w:t>
    </w:r>
  </w:p>
  <w:p w14:paraId="57B64617" w14:textId="0A167C01" w:rsidR="00427DC8" w:rsidRDefault="00555C29" w:rsidP="00427DC8">
    <w:pPr>
      <w:pStyle w:val="Header"/>
      <w:jc w:val="center"/>
      <w:rPr>
        <w:b/>
        <w:bCs/>
        <w:i/>
        <w:iCs/>
        <w:sz w:val="18"/>
        <w:szCs w:val="18"/>
      </w:rPr>
    </w:pPr>
    <w:r>
      <w:rPr>
        <w:b/>
        <w:bCs/>
        <w:i/>
        <w:iCs/>
        <w:sz w:val="18"/>
        <w:szCs w:val="18"/>
      </w:rPr>
      <w:t xml:space="preserve">Area Variance Findings and Decision - </w:t>
    </w:r>
    <w:r w:rsidR="00351691">
      <w:rPr>
        <w:b/>
        <w:bCs/>
        <w:i/>
        <w:iCs/>
        <w:sz w:val="18"/>
        <w:szCs w:val="18"/>
      </w:rPr>
      <w:t xml:space="preserve">Sidewalk Construction </w:t>
    </w:r>
    <w:r w:rsidR="00605D30">
      <w:rPr>
        <w:b/>
        <w:bCs/>
        <w:i/>
        <w:iCs/>
        <w:sz w:val="18"/>
        <w:szCs w:val="18"/>
      </w:rPr>
      <w:t>within MTOD</w:t>
    </w:r>
  </w:p>
  <w:p w14:paraId="4410801D" w14:textId="77777777" w:rsidR="00A511C1" w:rsidRPr="00427DC8" w:rsidRDefault="00A511C1" w:rsidP="00427DC8">
    <w:pPr>
      <w:pStyle w:val="Header"/>
      <w:jc w:val="center"/>
      <w:rPr>
        <w:b/>
        <w:bCs/>
        <w:i/>
        <w:i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FC6933"/>
    <w:multiLevelType w:val="hybridMultilevel"/>
    <w:tmpl w:val="D4B4749A"/>
    <w:lvl w:ilvl="0" w:tplc="25FA531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1BA4E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6C6A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14452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10F5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1F8A1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B46F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B207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6C79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2F61E2"/>
    <w:multiLevelType w:val="singleLevel"/>
    <w:tmpl w:val="DDF6D02C"/>
    <w:lvl w:ilvl="0">
      <w:start w:val="6"/>
      <w:numFmt w:val="lowerRoman"/>
      <w:lvlText w:val="(%1)"/>
      <w:legacy w:legacy="1" w:legacySpace="0" w:legacyIndent="720"/>
      <w:lvlJc w:val="left"/>
      <w:pPr>
        <w:ind w:left="1620" w:hanging="720"/>
      </w:pPr>
    </w:lvl>
  </w:abstractNum>
  <w:abstractNum w:abstractNumId="2" w15:restartNumberingAfterBreak="0">
    <w:nsid w:val="23D85986"/>
    <w:multiLevelType w:val="hybridMultilevel"/>
    <w:tmpl w:val="655ABFDA"/>
    <w:lvl w:ilvl="0" w:tplc="99BC33D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4B1882"/>
    <w:multiLevelType w:val="singleLevel"/>
    <w:tmpl w:val="C97A02F2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4" w15:restartNumberingAfterBreak="0">
    <w:nsid w:val="24685232"/>
    <w:multiLevelType w:val="singleLevel"/>
    <w:tmpl w:val="1F94C558"/>
    <w:lvl w:ilvl="0">
      <w:start w:val="3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5" w15:restartNumberingAfterBreak="0">
    <w:nsid w:val="465B4766"/>
    <w:multiLevelType w:val="multilevel"/>
    <w:tmpl w:val="F5263A0A"/>
    <w:lvl w:ilvl="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C950A49"/>
    <w:multiLevelType w:val="hybridMultilevel"/>
    <w:tmpl w:val="B35A07FE"/>
    <w:lvl w:ilvl="0" w:tplc="689CC456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60C30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91CB6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89467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187C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694D5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DE4D2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BE47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3895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B5A359A"/>
    <w:multiLevelType w:val="singleLevel"/>
    <w:tmpl w:val="44C25AF8"/>
    <w:lvl w:ilvl="0">
      <w:start w:val="4"/>
      <w:numFmt w:val="lowerRoman"/>
      <w:lvlText w:val="(%1)"/>
      <w:legacy w:legacy="1" w:legacySpace="0" w:legacyIndent="720"/>
      <w:lvlJc w:val="left"/>
      <w:pPr>
        <w:ind w:left="720" w:hanging="720"/>
      </w:pPr>
    </w:lvl>
  </w:abstractNum>
  <w:abstractNum w:abstractNumId="8" w15:restartNumberingAfterBreak="0">
    <w:nsid w:val="71675B0F"/>
    <w:multiLevelType w:val="singleLevel"/>
    <w:tmpl w:val="3B98B828"/>
    <w:lvl w:ilvl="0">
      <w:start w:val="10"/>
      <w:numFmt w:val="lowerRoman"/>
      <w:lvlText w:val="(%1)"/>
      <w:legacy w:legacy="1" w:legacySpace="0" w:legacyIndent="720"/>
      <w:lvlJc w:val="left"/>
      <w:pPr>
        <w:ind w:left="720" w:hanging="720"/>
      </w:pPr>
    </w:lvl>
  </w:abstractNum>
  <w:num w:numId="1" w16cid:durableId="77332551">
    <w:abstractNumId w:val="7"/>
  </w:num>
  <w:num w:numId="2" w16cid:durableId="1915511055">
    <w:abstractNumId w:val="1"/>
  </w:num>
  <w:num w:numId="3" w16cid:durableId="651494659">
    <w:abstractNumId w:val="8"/>
  </w:num>
  <w:num w:numId="4" w16cid:durableId="1581671260">
    <w:abstractNumId w:val="3"/>
  </w:num>
  <w:num w:numId="5" w16cid:durableId="1783963057">
    <w:abstractNumId w:val="4"/>
  </w:num>
  <w:num w:numId="6" w16cid:durableId="605305271">
    <w:abstractNumId w:val="0"/>
  </w:num>
  <w:num w:numId="7" w16cid:durableId="471677260">
    <w:abstractNumId w:val="6"/>
  </w:num>
  <w:num w:numId="8" w16cid:durableId="264578557">
    <w:abstractNumId w:val="5"/>
  </w:num>
  <w:num w:numId="9" w16cid:durableId="9925650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doNotHyphenateCaps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264"/>
    <w:rsid w:val="0000392F"/>
    <w:rsid w:val="0000611F"/>
    <w:rsid w:val="00010934"/>
    <w:rsid w:val="000457F2"/>
    <w:rsid w:val="00047ABD"/>
    <w:rsid w:val="000509D4"/>
    <w:rsid w:val="00052007"/>
    <w:rsid w:val="000558CB"/>
    <w:rsid w:val="00065395"/>
    <w:rsid w:val="000718CB"/>
    <w:rsid w:val="000844ED"/>
    <w:rsid w:val="000912DC"/>
    <w:rsid w:val="000A48AD"/>
    <w:rsid w:val="000A5BEF"/>
    <w:rsid w:val="000B06A6"/>
    <w:rsid w:val="000C1C9C"/>
    <w:rsid w:val="000D5FC8"/>
    <w:rsid w:val="000E61C3"/>
    <w:rsid w:val="000F1533"/>
    <w:rsid w:val="000F2952"/>
    <w:rsid w:val="000F598C"/>
    <w:rsid w:val="00102475"/>
    <w:rsid w:val="0011506E"/>
    <w:rsid w:val="00122BE6"/>
    <w:rsid w:val="0012502B"/>
    <w:rsid w:val="001302B5"/>
    <w:rsid w:val="0013079D"/>
    <w:rsid w:val="00132A66"/>
    <w:rsid w:val="001432D3"/>
    <w:rsid w:val="00144853"/>
    <w:rsid w:val="00146750"/>
    <w:rsid w:val="00155155"/>
    <w:rsid w:val="00157A09"/>
    <w:rsid w:val="0017034B"/>
    <w:rsid w:val="001857E7"/>
    <w:rsid w:val="00193BD3"/>
    <w:rsid w:val="001A269F"/>
    <w:rsid w:val="001A3614"/>
    <w:rsid w:val="001B6DA3"/>
    <w:rsid w:val="001C1D1F"/>
    <w:rsid w:val="001D3AA8"/>
    <w:rsid w:val="001D462E"/>
    <w:rsid w:val="001E60AC"/>
    <w:rsid w:val="001F5FC9"/>
    <w:rsid w:val="001F7019"/>
    <w:rsid w:val="00201417"/>
    <w:rsid w:val="002256D4"/>
    <w:rsid w:val="002261AE"/>
    <w:rsid w:val="00226A8B"/>
    <w:rsid w:val="00237C2D"/>
    <w:rsid w:val="002425CA"/>
    <w:rsid w:val="002465BC"/>
    <w:rsid w:val="00250732"/>
    <w:rsid w:val="00252DEA"/>
    <w:rsid w:val="00252E1A"/>
    <w:rsid w:val="00253535"/>
    <w:rsid w:val="00263D43"/>
    <w:rsid w:val="00265A0B"/>
    <w:rsid w:val="00273832"/>
    <w:rsid w:val="00280360"/>
    <w:rsid w:val="00291BB7"/>
    <w:rsid w:val="00297FC1"/>
    <w:rsid w:val="002A2F6D"/>
    <w:rsid w:val="002A7DAF"/>
    <w:rsid w:val="002D7C59"/>
    <w:rsid w:val="002E1397"/>
    <w:rsid w:val="002E13C8"/>
    <w:rsid w:val="002E7DDE"/>
    <w:rsid w:val="002F496C"/>
    <w:rsid w:val="002F5AF5"/>
    <w:rsid w:val="00306DC5"/>
    <w:rsid w:val="00320558"/>
    <w:rsid w:val="003375A5"/>
    <w:rsid w:val="00340A19"/>
    <w:rsid w:val="00341085"/>
    <w:rsid w:val="0034592D"/>
    <w:rsid w:val="003459F1"/>
    <w:rsid w:val="00351691"/>
    <w:rsid w:val="003553C1"/>
    <w:rsid w:val="00355C3A"/>
    <w:rsid w:val="00355DA7"/>
    <w:rsid w:val="0035746A"/>
    <w:rsid w:val="003603A2"/>
    <w:rsid w:val="003603B9"/>
    <w:rsid w:val="00362E80"/>
    <w:rsid w:val="00363E71"/>
    <w:rsid w:val="003665B5"/>
    <w:rsid w:val="00366820"/>
    <w:rsid w:val="00375729"/>
    <w:rsid w:val="00377260"/>
    <w:rsid w:val="00394CA6"/>
    <w:rsid w:val="00395160"/>
    <w:rsid w:val="003C3DD2"/>
    <w:rsid w:val="003D6807"/>
    <w:rsid w:val="003E154A"/>
    <w:rsid w:val="003E56CC"/>
    <w:rsid w:val="003F3456"/>
    <w:rsid w:val="003F5CA2"/>
    <w:rsid w:val="00406085"/>
    <w:rsid w:val="0040682F"/>
    <w:rsid w:val="00414CE4"/>
    <w:rsid w:val="00427238"/>
    <w:rsid w:val="00427DC8"/>
    <w:rsid w:val="00435802"/>
    <w:rsid w:val="00436D76"/>
    <w:rsid w:val="00444A0C"/>
    <w:rsid w:val="00460775"/>
    <w:rsid w:val="004628EA"/>
    <w:rsid w:val="00462D72"/>
    <w:rsid w:val="00464204"/>
    <w:rsid w:val="00464AF9"/>
    <w:rsid w:val="0048051C"/>
    <w:rsid w:val="00486CEC"/>
    <w:rsid w:val="00492D7D"/>
    <w:rsid w:val="00495363"/>
    <w:rsid w:val="004A46F5"/>
    <w:rsid w:val="004B2EAB"/>
    <w:rsid w:val="004B51DC"/>
    <w:rsid w:val="004C0DB0"/>
    <w:rsid w:val="004C786E"/>
    <w:rsid w:val="004E1618"/>
    <w:rsid w:val="004E3AE1"/>
    <w:rsid w:val="004F251A"/>
    <w:rsid w:val="004F7E33"/>
    <w:rsid w:val="005024B5"/>
    <w:rsid w:val="005049DE"/>
    <w:rsid w:val="00515176"/>
    <w:rsid w:val="00522062"/>
    <w:rsid w:val="005328C8"/>
    <w:rsid w:val="00541264"/>
    <w:rsid w:val="00543099"/>
    <w:rsid w:val="00544F85"/>
    <w:rsid w:val="00545CD8"/>
    <w:rsid w:val="005508C5"/>
    <w:rsid w:val="00555C29"/>
    <w:rsid w:val="00560784"/>
    <w:rsid w:val="00566F7E"/>
    <w:rsid w:val="005715A1"/>
    <w:rsid w:val="00571C7A"/>
    <w:rsid w:val="00590E36"/>
    <w:rsid w:val="0059223C"/>
    <w:rsid w:val="0059352A"/>
    <w:rsid w:val="005B4247"/>
    <w:rsid w:val="005B6C86"/>
    <w:rsid w:val="005C073B"/>
    <w:rsid w:val="005C4362"/>
    <w:rsid w:val="005C4804"/>
    <w:rsid w:val="005D1DAF"/>
    <w:rsid w:val="005D654E"/>
    <w:rsid w:val="005F1168"/>
    <w:rsid w:val="005F28B3"/>
    <w:rsid w:val="005F3526"/>
    <w:rsid w:val="005F6912"/>
    <w:rsid w:val="00600062"/>
    <w:rsid w:val="00600A59"/>
    <w:rsid w:val="00605D30"/>
    <w:rsid w:val="006119A5"/>
    <w:rsid w:val="00616799"/>
    <w:rsid w:val="006173A0"/>
    <w:rsid w:val="006234F2"/>
    <w:rsid w:val="00632B5C"/>
    <w:rsid w:val="00633191"/>
    <w:rsid w:val="00641ED3"/>
    <w:rsid w:val="00642061"/>
    <w:rsid w:val="00647F5C"/>
    <w:rsid w:val="0065021E"/>
    <w:rsid w:val="00655365"/>
    <w:rsid w:val="00662BE5"/>
    <w:rsid w:val="00666029"/>
    <w:rsid w:val="00681C00"/>
    <w:rsid w:val="006A0FB0"/>
    <w:rsid w:val="006B0616"/>
    <w:rsid w:val="006B6AED"/>
    <w:rsid w:val="006D1DA6"/>
    <w:rsid w:val="006D62F0"/>
    <w:rsid w:val="006F4CFC"/>
    <w:rsid w:val="006F7CE3"/>
    <w:rsid w:val="00703CDB"/>
    <w:rsid w:val="0070664A"/>
    <w:rsid w:val="00715AEC"/>
    <w:rsid w:val="00723F8F"/>
    <w:rsid w:val="00725F30"/>
    <w:rsid w:val="0074179E"/>
    <w:rsid w:val="00755A1D"/>
    <w:rsid w:val="007576F0"/>
    <w:rsid w:val="00764AA0"/>
    <w:rsid w:val="00770938"/>
    <w:rsid w:val="007720AE"/>
    <w:rsid w:val="00774D01"/>
    <w:rsid w:val="0077623E"/>
    <w:rsid w:val="00777AB4"/>
    <w:rsid w:val="00785358"/>
    <w:rsid w:val="007871EF"/>
    <w:rsid w:val="007939E6"/>
    <w:rsid w:val="0079667E"/>
    <w:rsid w:val="007A69C0"/>
    <w:rsid w:val="007B1CD5"/>
    <w:rsid w:val="007B2AA2"/>
    <w:rsid w:val="007C2BED"/>
    <w:rsid w:val="007E57EE"/>
    <w:rsid w:val="007E696B"/>
    <w:rsid w:val="007F1EF4"/>
    <w:rsid w:val="00802F97"/>
    <w:rsid w:val="00821A19"/>
    <w:rsid w:val="00842D63"/>
    <w:rsid w:val="00843F66"/>
    <w:rsid w:val="00850BDE"/>
    <w:rsid w:val="00853597"/>
    <w:rsid w:val="00854829"/>
    <w:rsid w:val="00856974"/>
    <w:rsid w:val="008733FF"/>
    <w:rsid w:val="0088588B"/>
    <w:rsid w:val="00890955"/>
    <w:rsid w:val="008A285A"/>
    <w:rsid w:val="008A6392"/>
    <w:rsid w:val="008A7EF6"/>
    <w:rsid w:val="008B014C"/>
    <w:rsid w:val="008D3097"/>
    <w:rsid w:val="008F0DFF"/>
    <w:rsid w:val="008F3809"/>
    <w:rsid w:val="00910285"/>
    <w:rsid w:val="0092176F"/>
    <w:rsid w:val="00925FDE"/>
    <w:rsid w:val="00926CC1"/>
    <w:rsid w:val="00935C63"/>
    <w:rsid w:val="00941F6B"/>
    <w:rsid w:val="009444BC"/>
    <w:rsid w:val="0095010C"/>
    <w:rsid w:val="00950390"/>
    <w:rsid w:val="00975ECB"/>
    <w:rsid w:val="009934E9"/>
    <w:rsid w:val="009B7DFF"/>
    <w:rsid w:val="009C409E"/>
    <w:rsid w:val="009D125D"/>
    <w:rsid w:val="009E7C40"/>
    <w:rsid w:val="00A071EB"/>
    <w:rsid w:val="00A15ED5"/>
    <w:rsid w:val="00A229C1"/>
    <w:rsid w:val="00A32E96"/>
    <w:rsid w:val="00A44A54"/>
    <w:rsid w:val="00A511C1"/>
    <w:rsid w:val="00A54B4F"/>
    <w:rsid w:val="00A655BF"/>
    <w:rsid w:val="00A732E8"/>
    <w:rsid w:val="00A73F07"/>
    <w:rsid w:val="00A82780"/>
    <w:rsid w:val="00A87A24"/>
    <w:rsid w:val="00AA0717"/>
    <w:rsid w:val="00AA49E8"/>
    <w:rsid w:val="00AA5B4F"/>
    <w:rsid w:val="00AA79D8"/>
    <w:rsid w:val="00AA7CC5"/>
    <w:rsid w:val="00AB1849"/>
    <w:rsid w:val="00AB4480"/>
    <w:rsid w:val="00AB4CA9"/>
    <w:rsid w:val="00AF332A"/>
    <w:rsid w:val="00AF5BD2"/>
    <w:rsid w:val="00B01494"/>
    <w:rsid w:val="00B12032"/>
    <w:rsid w:val="00B27B6E"/>
    <w:rsid w:val="00B338E7"/>
    <w:rsid w:val="00B34077"/>
    <w:rsid w:val="00B40012"/>
    <w:rsid w:val="00B561B9"/>
    <w:rsid w:val="00B5630A"/>
    <w:rsid w:val="00B61F56"/>
    <w:rsid w:val="00B6255A"/>
    <w:rsid w:val="00B66E01"/>
    <w:rsid w:val="00B74FD9"/>
    <w:rsid w:val="00B81DD4"/>
    <w:rsid w:val="00BA1D2A"/>
    <w:rsid w:val="00BB77A8"/>
    <w:rsid w:val="00BC7C0D"/>
    <w:rsid w:val="00BE27FB"/>
    <w:rsid w:val="00BE7F28"/>
    <w:rsid w:val="00BF0992"/>
    <w:rsid w:val="00C05900"/>
    <w:rsid w:val="00C07E16"/>
    <w:rsid w:val="00C24908"/>
    <w:rsid w:val="00C30A77"/>
    <w:rsid w:val="00C44107"/>
    <w:rsid w:val="00C66F78"/>
    <w:rsid w:val="00C7032D"/>
    <w:rsid w:val="00C71AD6"/>
    <w:rsid w:val="00C76F86"/>
    <w:rsid w:val="00C92003"/>
    <w:rsid w:val="00C97A0A"/>
    <w:rsid w:val="00CB0143"/>
    <w:rsid w:val="00CC0379"/>
    <w:rsid w:val="00CC415F"/>
    <w:rsid w:val="00CC7E82"/>
    <w:rsid w:val="00CD1AD8"/>
    <w:rsid w:val="00CD2CDD"/>
    <w:rsid w:val="00CF58DD"/>
    <w:rsid w:val="00D036FE"/>
    <w:rsid w:val="00D0403D"/>
    <w:rsid w:val="00D04982"/>
    <w:rsid w:val="00D374EC"/>
    <w:rsid w:val="00D50D7C"/>
    <w:rsid w:val="00D54DE8"/>
    <w:rsid w:val="00D61A5A"/>
    <w:rsid w:val="00D7092D"/>
    <w:rsid w:val="00D750F1"/>
    <w:rsid w:val="00DA1188"/>
    <w:rsid w:val="00DB4992"/>
    <w:rsid w:val="00DD303C"/>
    <w:rsid w:val="00DE0DBE"/>
    <w:rsid w:val="00DF3E7C"/>
    <w:rsid w:val="00DF529C"/>
    <w:rsid w:val="00E02ED7"/>
    <w:rsid w:val="00E14FAA"/>
    <w:rsid w:val="00E15E40"/>
    <w:rsid w:val="00E171D6"/>
    <w:rsid w:val="00E24A09"/>
    <w:rsid w:val="00E24B10"/>
    <w:rsid w:val="00E3426D"/>
    <w:rsid w:val="00E34AD0"/>
    <w:rsid w:val="00E36804"/>
    <w:rsid w:val="00E4304C"/>
    <w:rsid w:val="00E44981"/>
    <w:rsid w:val="00E5214A"/>
    <w:rsid w:val="00E54773"/>
    <w:rsid w:val="00E54876"/>
    <w:rsid w:val="00E54E39"/>
    <w:rsid w:val="00E560AD"/>
    <w:rsid w:val="00E80ABD"/>
    <w:rsid w:val="00E84253"/>
    <w:rsid w:val="00E93EFE"/>
    <w:rsid w:val="00E9514B"/>
    <w:rsid w:val="00EB14DA"/>
    <w:rsid w:val="00ED6ABF"/>
    <w:rsid w:val="00ED6DA1"/>
    <w:rsid w:val="00EF094B"/>
    <w:rsid w:val="00EF3DBC"/>
    <w:rsid w:val="00EF4773"/>
    <w:rsid w:val="00EF6900"/>
    <w:rsid w:val="00EF74B0"/>
    <w:rsid w:val="00F1620C"/>
    <w:rsid w:val="00F41F0E"/>
    <w:rsid w:val="00F437B3"/>
    <w:rsid w:val="00F60397"/>
    <w:rsid w:val="00F6347F"/>
    <w:rsid w:val="00F71DBA"/>
    <w:rsid w:val="00F7252C"/>
    <w:rsid w:val="00F731E5"/>
    <w:rsid w:val="00F7443C"/>
    <w:rsid w:val="00F86C12"/>
    <w:rsid w:val="00F97902"/>
    <w:rsid w:val="00FA24F6"/>
    <w:rsid w:val="00FA596D"/>
    <w:rsid w:val="00FC0E40"/>
    <w:rsid w:val="00FD1152"/>
    <w:rsid w:val="00FD577F"/>
    <w:rsid w:val="00FD62A0"/>
    <w:rsid w:val="00FD7F66"/>
    <w:rsid w:val="00FE0128"/>
    <w:rsid w:val="00FE24AD"/>
    <w:rsid w:val="00FE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B05C0C"/>
  <w15:chartTrackingRefBased/>
  <w15:docId w15:val="{8857B995-7293-46E9-801A-D33A190C4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keepNext/>
      <w:tabs>
        <w:tab w:val="left" w:pos="2900"/>
        <w:tab w:val="left" w:pos="4680"/>
      </w:tabs>
      <w:spacing w:after="240"/>
      <w:ind w:left="720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b/>
      <w:sz w:val="22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E7F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7F2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35C63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E090B-4F0F-4520-A77D-531CE5FBC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1164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FARMINGTON PLANNING BOARD RESOLUTION</vt:lpstr>
    </vt:vector>
  </TitlesOfParts>
  <Company> </Company>
  <LinksUpToDate>false</LinksUpToDate>
  <CharactersWithSpaces>7784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FARMINGTON PLANNING BOARD RESOLUTION</dc:title>
  <dc:subject>SEQR</dc:subject>
  <dc:creator>Valued Gateway 2000 Customer</dc:creator>
  <cp:keywords>SIGNIFICANCE</cp:keywords>
  <dc:description/>
  <cp:lastModifiedBy>Paula Ruthven</cp:lastModifiedBy>
  <cp:revision>56</cp:revision>
  <cp:lastPrinted>2025-08-22T17:03:00Z</cp:lastPrinted>
  <dcterms:created xsi:type="dcterms:W3CDTF">2025-08-22T16:31:00Z</dcterms:created>
  <dcterms:modified xsi:type="dcterms:W3CDTF">2025-08-23T00:08:00Z</dcterms:modified>
  <cp:category>RESOLUTIONS</cp:category>
</cp:coreProperties>
</file>